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8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/>
          <w:sz w:val="48"/>
          <w:szCs w:val="24"/>
          <w:lang w:val="zh-CN"/>
        </w:rPr>
        <w:t>天津博物馆</w:t>
      </w: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  <w:r>
        <w:rPr>
          <w:rFonts w:hint="eastAsia" w:ascii="方正小标宋简体" w:hAnsi="方正小标宋简体" w:eastAsia="方正小标宋简体"/>
          <w:sz w:val="48"/>
          <w:szCs w:val="24"/>
          <w:lang w:val="zh-CN"/>
        </w:rPr>
        <w:t>2024年单位预算</w:t>
      </w: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both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line="60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en-US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</w:sectPr>
      </w:pPr>
    </w:p>
    <w:p>
      <w:pPr>
        <w:spacing w:line="60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en-US"/>
        </w:rPr>
      </w:pPr>
      <w:r>
        <w:rPr>
          <w:rFonts w:hint="eastAsia" w:ascii="黑体" w:hAnsi="黑体" w:eastAsia="黑体"/>
          <w:kern w:val="2"/>
          <w:sz w:val="44"/>
          <w:szCs w:val="24"/>
          <w:lang w:val="en-US"/>
        </w:rPr>
        <w:t>目   录</w:t>
      </w:r>
    </w:p>
    <w:p>
      <w:pPr>
        <w:keepNext/>
        <w:keepLines/>
        <w:spacing w:line="60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第一部分  概 况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一、主要职责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二、机构设置情况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第二部分  2024年单位预算情况说明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一、关于收支总体情况表的说明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二、关于收入总体情况表的说明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三、关于支出总体情况表的说明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四、关于财政拨款收支总体情况表的说明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五、关于一般公共预算支出情况的说明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六、关于一般公共预算基本支出情况表的说明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七、关于一般公共预算“三公”经费支出情况表的说明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八、关于政府性基金预算支出情况表的说明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九、关于国有资本经营预算支出情况表的说明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十、其他重要事项的情况说明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第三部分  名词解释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b/>
          <w:kern w:val="2"/>
          <w:sz w:val="30"/>
          <w:szCs w:val="24"/>
          <w:lang w:val="en-US"/>
        </w:rPr>
        <w:t>第四部分  2024年单位预算表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一、收支总体情况表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二、收入总体情况表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三、支出总体情况表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sectPr>
          <w:footerReference r:id="rId3" w:type="default"/>
          <w:pgSz w:w="12240" w:h="15840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四、财政拨款收支总体情况表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五、一般公共预算支出情况表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六、一般公共预算基本支出情况表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七、一般公共预算“三公”经费支出情况表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八、政府性基金预算支出情况表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九、国有资本经营预算支出情况表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十、项目支出表</w:t>
      </w:r>
    </w:p>
    <w:p>
      <w:pPr>
        <w:spacing w:line="600" w:lineRule="exact"/>
        <w:jc w:val="both"/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>十一、关于空表的说明</w:t>
      </w:r>
      <w:r>
        <w:rPr>
          <w:rFonts w:hint="eastAsia" w:ascii="仿宋_GB2312" w:hAnsi="仿宋_GB2312" w:eastAsia="仿宋_GB2312"/>
          <w:kern w:val="2"/>
          <w:sz w:val="30"/>
          <w:szCs w:val="24"/>
          <w:lang w:val="en-US"/>
        </w:rPr>
        <w:tab/>
      </w: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highlight w:val="white"/>
          <w:lang w:val="zh-CN"/>
        </w:rPr>
      </w:pPr>
    </w:p>
    <w:p>
      <w:pPr>
        <w:spacing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highlight w:val="white"/>
          <w:lang w:val="zh-CN"/>
        </w:rPr>
      </w:pPr>
    </w:p>
    <w:p>
      <w:pPr>
        <w:spacing w:line="580" w:lineRule="exact"/>
        <w:jc w:val="center"/>
        <w:rPr>
          <w:rFonts w:hint="default" w:ascii="Times New Roman" w:hAnsi="Times New Roman" w:eastAsia="Times New Roman"/>
          <w:kern w:val="2"/>
          <w:sz w:val="44"/>
          <w:szCs w:val="24"/>
          <w:highlight w:val="white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en-US"/>
        </w:rPr>
        <w:sectPr>
          <w:footerReference r:id="rId4" w:type="default"/>
          <w:pgSz w:w="12240" w:h="15840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pStyle w:val="2"/>
        <w:rPr>
          <w:rFonts w:hint="default"/>
          <w:sz w:val="24"/>
          <w:szCs w:val="24"/>
          <w:lang w:val="en-US"/>
        </w:rPr>
      </w:pPr>
    </w:p>
    <w:p>
      <w:pPr>
        <w:spacing w:line="580" w:lineRule="exact"/>
        <w:jc w:val="center"/>
        <w:rPr>
          <w:rFonts w:hint="eastAsia" w:ascii="黑体" w:hAnsi="黑体" w:eastAsia="黑体"/>
          <w:kern w:val="2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en-US"/>
        </w:rPr>
        <w:t>第一部分  概 况</w:t>
      </w:r>
    </w:p>
    <w:p>
      <w:pPr>
        <w:spacing w:line="580" w:lineRule="exact"/>
        <w:ind w:firstLine="480"/>
        <w:jc w:val="both"/>
        <w:rPr>
          <w:rFonts w:hint="default" w:ascii="Times New Roman" w:hAnsi="Times New Roman" w:eastAsia="Times New Roman"/>
          <w:kern w:val="2"/>
          <w:sz w:val="24"/>
          <w:szCs w:val="24"/>
          <w:lang w:val="zh-CN"/>
        </w:rPr>
      </w:pPr>
    </w:p>
    <w:p>
      <w:pPr>
        <w:pStyle w:val="4"/>
        <w:keepNext/>
        <w:keepLines/>
        <w:spacing w:before="260" w:after="260" w:line="600" w:lineRule="exact"/>
        <w:ind w:firstLine="602"/>
        <w:rPr>
          <w:rFonts w:hint="eastAsia" w:ascii="黑体" w:hAnsi="黑体" w:eastAsia="黑体"/>
          <w:b/>
          <w:sz w:val="30"/>
          <w:szCs w:val="24"/>
          <w:lang w:val="en-US"/>
        </w:rPr>
      </w:pPr>
      <w:r>
        <w:rPr>
          <w:rFonts w:hint="eastAsia" w:ascii="黑体" w:hAnsi="黑体" w:eastAsia="黑体"/>
          <w:b/>
          <w:sz w:val="30"/>
          <w:szCs w:val="24"/>
          <w:lang w:val="en-US"/>
        </w:rPr>
        <w:t>一、主要职责</w:t>
      </w:r>
    </w:p>
    <w:p>
      <w:pPr>
        <w:pStyle w:val="4"/>
        <w:spacing w:line="600" w:lineRule="exact"/>
        <w:ind w:firstLine="600" w:firstLineChars="200"/>
        <w:rPr>
          <w:rFonts w:hint="default" w:ascii="Times New Roman" w:hAnsi="Times New Roman" w:eastAsia="仿宋_GB2312"/>
          <w:sz w:val="30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24"/>
          <w:lang w:val="en-US" w:eastAsia="zh-CN"/>
        </w:rPr>
        <w:t>天津博物馆主要职责是：征集、收藏、保护、研究和有效利用历史文物、文献、艺术品等人类物质文化遗产；开展文物展示和宣传教育活动，提高城市文化品味；负责文物鉴定等相关知识的培训工作。</w:t>
      </w:r>
    </w:p>
    <w:p>
      <w:pPr>
        <w:pStyle w:val="4"/>
        <w:keepNext/>
        <w:keepLines/>
        <w:spacing w:before="260" w:after="260" w:line="600" w:lineRule="exact"/>
        <w:ind w:firstLine="602"/>
        <w:rPr>
          <w:rFonts w:hint="eastAsia" w:ascii="黑体" w:hAnsi="黑体" w:eastAsia="黑体"/>
          <w:b/>
          <w:sz w:val="30"/>
          <w:szCs w:val="24"/>
          <w:lang w:val="en-US"/>
        </w:rPr>
      </w:pPr>
      <w:r>
        <w:rPr>
          <w:rFonts w:hint="eastAsia" w:ascii="黑体" w:hAnsi="黑体" w:eastAsia="黑体"/>
          <w:b/>
          <w:sz w:val="30"/>
          <w:szCs w:val="24"/>
          <w:lang w:val="en-US"/>
        </w:rPr>
        <w:t>二、机构设置情况</w:t>
      </w:r>
    </w:p>
    <w:p>
      <w:pPr>
        <w:pStyle w:val="4"/>
        <w:spacing w:line="600" w:lineRule="exact"/>
        <w:ind w:firstLine="600" w:firstLineChars="200"/>
        <w:rPr>
          <w:rFonts w:hint="eastAsia" w:ascii="Times New Roman" w:hAnsi="Times New Roman" w:eastAsia="仿宋_GB2312"/>
          <w:sz w:val="30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24"/>
          <w:lang w:val="en-US" w:eastAsia="zh-CN"/>
        </w:rPr>
        <w:t>天津博物馆与天津文博院合署办公。天津博物馆内设14个职能部室，分别为：党委办公室（人事部）、办公室、保卫部、财务部、行政管理部、历史研究部、器物研究部、书画研究部、宣传教育部、文物保护技术部、图书资料部、图像信息部、展览设计部、经营部。天津文博院内设2个职能部室，分别为：办公室、研究部。天津博物馆加挂天津美术馆、李叔同（故居）纪念馆牌子。</w:t>
      </w:r>
    </w:p>
    <w:p>
      <w:pPr>
        <w:spacing w:line="600" w:lineRule="exact"/>
        <w:ind w:firstLine="600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line="600" w:lineRule="exact"/>
        <w:jc w:val="both"/>
        <w:rPr>
          <w:rFonts w:hint="eastAsia" w:ascii="黑体" w:hAnsi="黑体" w:eastAsia="黑体"/>
          <w:kern w:val="2"/>
          <w:sz w:val="44"/>
          <w:szCs w:val="24"/>
          <w:lang w:val="en-US"/>
        </w:rPr>
      </w:pPr>
    </w:p>
    <w:p>
      <w:pPr>
        <w:spacing w:line="360" w:lineRule="atLeast"/>
        <w:jc w:val="center"/>
        <w:rPr>
          <w:rFonts w:hint="eastAsia" w:ascii="黑体" w:hAnsi="黑体" w:eastAsia="黑体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b/>
          <w:kern w:val="2"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zh-CN"/>
        </w:rPr>
        <w:t xml:space="preserve">第二部分 </w:t>
      </w:r>
      <w:r>
        <w:rPr>
          <w:rFonts w:hint="eastAsia" w:ascii="方正小标宋简体" w:hAnsi="方正小标宋简体" w:eastAsia="方正小标宋简体"/>
          <w:b/>
          <w:kern w:val="44"/>
          <w:sz w:val="44"/>
          <w:szCs w:val="24"/>
          <w:lang w:val="en-US"/>
        </w:rPr>
        <w:t xml:space="preserve"> 2024年单位预算情况说明</w:t>
      </w: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kern w:val="2"/>
          <w:sz w:val="30"/>
          <w:szCs w:val="24"/>
          <w:lang w:val="en-US"/>
        </w:rPr>
      </w:pP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一、关于收支总体情况表的说明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按照综合预算的原则，天津博物馆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所有收入和支出均纳入单位预算管理。收入包括：一般公共预算拨款收入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10,876.1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、政府性基金预算拨款收入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、国有资本经营预算拨款收入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、财政专户管理资金收入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、事业收入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940.3万元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、事业单位经营收入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、上级补助收入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、附属单位上缴收入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、其他收入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80.7万元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、上年结转结余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522.1万元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；支出包括：教育支出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、文化旅游体育与传媒支出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11,661.6万元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、社会保障和就业支出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479万元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、卫生健康支出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278.6万元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、债务付息支出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0万元，年终结转结余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2024年收支总预算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12,419.2万元。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二、关于收入总体情况表的说明</w:t>
      </w:r>
    </w:p>
    <w:p>
      <w:pPr>
        <w:spacing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2024年单位预算收入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12,419.2万元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，与2023年预算相比增加1,993.9万元，主要原因是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增加了消防系统维修工程项目资金、增加了李叔同提升改造项目资金、增加了文物预防性保护项目资金、增加了甲骨数字化保护项目资金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。其中：上年结转结余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522.1万元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，占4.2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；一般公共预算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10,876.1万元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，占87.6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；政府性基金预算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；国有资本经营预算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；财政专户管理资金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；事业收入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940.3万元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，占7.6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；事业单位经营收入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；上级补助收入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；附属单位上缴收入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；其他收入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80.7万元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，占0.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三、关于支出总体情况表的说明</w:t>
      </w:r>
    </w:p>
    <w:p>
      <w:pPr>
        <w:spacing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2024年支出预算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12,419.2万元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，与2023年预算相比增加2,032.4万元，主要原因是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增加了消防系统维修工程项目资金、增加了李叔同提升改造项目资金、增加了文物预防性保护项目资金、增加了甲骨数字化保护项目资金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。其中：基本支出5,587.5万元，占45.0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；项目支出6,831.7万元，占55.0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；事业单位经营支出0万元，占0.0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；上缴上级支出0万元，占0.0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；对附属单位补助支出0万元，占0.0</w:t>
      </w:r>
      <w:r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  <w:t>%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四、关于财政拨款收支总体情况表的说明</w:t>
      </w:r>
    </w:p>
    <w:p>
      <w:pPr>
        <w:spacing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2024年财政拨款收入预算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10,995.9万元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，与2023年预算相比增加1,048.3万元，主要原因是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增加了消防系统维修工程项目资金、增加了李叔同提升改造项目资金、增加了文物预防性保护项目资金、增加了甲骨数字化保护项目资金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。收入包括：一般公共预算拨款收入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10,876.1万元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、政府性基金预算拨款收入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、国有资本经营预算拨款收入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、上年财政结转结余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119.8万元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。2024年财政拨款支出预算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10,995.9万元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，与2023年预算相比增加1,048.3万元，主要原因是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增加了消防系统维修工程项目资金、增加了李叔同提升改造项目资金、增加了文物预防性保护项目资金、增加了甲骨数字化保护项目资金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。支出包括：教育支出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、文化旅游体育与传媒支出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10,313.3万元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、社会保障和就业支出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429万元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、卫生健康支出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253.6万元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、债务付息支出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五、关于一般公共预算支出情况表的说明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楷体" w:hAnsi="楷体" w:eastAsia="楷体"/>
          <w:b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kern w:val="2"/>
          <w:sz w:val="30"/>
          <w:szCs w:val="24"/>
          <w:lang w:val="en-US"/>
        </w:rPr>
        <w:t>（一）总体情况。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2024年一般公共预算支出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10,995.9万元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，与2023年预算相比增加1,048.3万元，主要原因是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增加了消防系统维修工程项目资金、增加了李叔同提升改造项目资金、增加了文物预防性保护项目资金、增加了甲骨数字化保护项目资金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spacing w:line="600" w:lineRule="exact"/>
        <w:ind w:firstLine="600"/>
        <w:jc w:val="both"/>
        <w:rPr>
          <w:rFonts w:hint="eastAsia" w:ascii="楷体" w:hAnsi="楷体" w:eastAsia="楷体"/>
          <w:b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kern w:val="2"/>
          <w:sz w:val="30"/>
          <w:szCs w:val="24"/>
          <w:lang w:val="en-US"/>
        </w:rPr>
        <w:t>（二）具体情况。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仿宋" w:hAnsi="仿宋" w:eastAsia="仿宋"/>
          <w:sz w:val="30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24"/>
          <w:lang w:val="zh-CN"/>
        </w:rPr>
        <w:t>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“文化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旅游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体育与传媒支出”10,313.3万元，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与2023年预算相比增加1,052.7万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增加了消防系统维修工程项目资金、增加了李叔同提升改造项目资金、增加了文物预防性保护项目资金、增加了甲骨数字化保护项目资金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其中：</w:t>
      </w:r>
    </w:p>
    <w:p>
      <w:pPr>
        <w:spacing w:line="580" w:lineRule="exact"/>
        <w:ind w:firstLine="600"/>
        <w:jc w:val="both"/>
        <w:rPr>
          <w:rFonts w:hint="eastAsia" w:ascii="仿宋" w:hAnsi="仿宋" w:eastAsia="仿宋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“文物”10,313.3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包括: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“文物保护”1,457万元，主要用于：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国家文物保护专项支出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；“博物馆”8,856.3万元，主要用于：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本单位人员、公用支出和项目支出等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" w:hAnsi="仿宋" w:eastAsia="仿宋"/>
          <w:sz w:val="30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24"/>
          <w:lang w:val="zh-CN"/>
        </w:rPr>
        <w:t>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“社会保障和就业支出”429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万元，与2023年预算相比增加3.3万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人员增加带来的支出增加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，其中：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“行政事业单位养老支出”429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包括: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“机关事业单位基本养老保险缴费支出”286万元，主要用于：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缴纳单位人员养老保险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；“机关事业单位职业年金缴费支出”143万元，主要用于：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缴纳单位人员职业年金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" w:hAnsi="仿宋" w:eastAsia="仿宋"/>
          <w:sz w:val="30"/>
          <w:szCs w:val="24"/>
          <w:lang w:val="en-US"/>
        </w:rPr>
        <w:t>4</w:t>
      </w:r>
      <w:r>
        <w:rPr>
          <w:rFonts w:hint="eastAsia" w:ascii="仿宋" w:hAnsi="仿宋" w:eastAsia="仿宋"/>
          <w:sz w:val="30"/>
          <w:szCs w:val="24"/>
          <w:lang w:val="zh-CN"/>
        </w:rPr>
        <w:t>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“卫生健康支出”253.6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万元，与2023年预算相比减少7.7万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人员变动造成的医疗费支出减少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，其中：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“行政事业单位医疗”253.6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包括: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“事业单位医疗”184.7万元，主要用于：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缴纳单位人员医疗保险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；“其他行政事业单位医疗支出”68.9万元，主要用于：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单位人员医疗补助</w:t>
      </w:r>
      <w:r>
        <w:rPr>
          <w:rFonts w:hint="eastAsia" w:eastAsia="仿宋_GB2312"/>
          <w:kern w:val="2"/>
          <w:sz w:val="30"/>
          <w:szCs w:val="24"/>
          <w:lang w:val="en-US" w:eastAsia="zh-CN"/>
        </w:rPr>
        <w:t>。</w:t>
      </w:r>
      <w:bookmarkStart w:id="0" w:name="_GoBack"/>
      <w:bookmarkEnd w:id="0"/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sz w:val="30"/>
          <w:szCs w:val="24"/>
          <w:lang w:val="en-US"/>
        </w:rPr>
      </w:pPr>
      <w:r>
        <w:rPr>
          <w:rFonts w:hint="eastAsia" w:ascii="黑体" w:hAnsi="黑体" w:eastAsia="黑体"/>
          <w:sz w:val="30"/>
          <w:szCs w:val="24"/>
          <w:lang w:val="en-US"/>
        </w:rPr>
        <w:t>六、关于一般公共预算基本支出情况表的说明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一般公共预算基本支出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4,851.5万元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，与2023年预算相比减少71.6万元，主要原因是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人员变动造成人员经费支出减少；统一压减经费造成公用经费支出减少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。其中：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人员经费4,383.4万元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，主要包括：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基本工资”880万元、“津贴补贴”400万元、“绩效工资”1,088.2万元、“机关事业单位基本养老保险缴费”286万元、“职业年金缴费”143万元、“职工基本医疗保险缴费”178.7万元、“其他社会保障缴费”43.8万元、“住房公积金”1,000万元、“医疗费”61.9万元、“其他工资福利支出”150.6万元、“离休费”53万元、“退休费”85万元、“医疗费补助”13万元、“奖励金”0.2万元。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公用经费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468.1万元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，主要包括：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“办公费”69万元、“印刷费”10万元、“手续费”0.5万元、“水费”5万元、“电费”100万元、“邮电费”3万元、“差旅费”44.4万元、“会议费”4.5万元、“培训费”3万元、“公务接待费”1.6万元、“专用材料费”49万元、“工会经费”36.4万元、“福利费”77万元、“公务用车运行维护费”1.6万元、“其他交通费用”33万元、“其他商品和服务支出”23.1万元、“办公设备购置”7万元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color w:val="auto"/>
          <w:sz w:val="30"/>
          <w:szCs w:val="24"/>
          <w:lang w:val="en-US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七、关于一般公共预算“三公”经费支出情况表的说明</w:t>
      </w:r>
    </w:p>
    <w:p>
      <w:pPr>
        <w:spacing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2024年一般公共预算“三公”经费安排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3.2万元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，与2023年预算相比减少0.4万元，主要原因是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节约三公经费开支，压减经费造成三公经费支出减少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。具体情况：</w:t>
      </w:r>
    </w:p>
    <w:p>
      <w:pPr>
        <w:spacing w:line="56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  <w:t>一、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2024年因公出国（境）费预算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，与2023年预算相比持平，主要原因是本单位一般公共预算未安排‘因公出国（境）费’经费。</w:t>
      </w:r>
    </w:p>
    <w:p>
      <w:pPr>
        <w:spacing w:line="560" w:lineRule="exact"/>
        <w:ind w:firstLine="600"/>
        <w:jc w:val="both"/>
        <w:rPr>
          <w:rFonts w:hint="default" w:ascii="MS Serif" w:hAnsi="MS Serif" w:eastAsia="MS Serif"/>
          <w:color w:val="auto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  <w:t>二、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2024年公务用车购置及运行费预算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1.6万元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，其中公务用车运行费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1.6万元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，与2023年预算相比减少0.2万元，主要原因是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节约三公经费开支，压减财政拨款公务用车运行费支出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；公务用车购置费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0万元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，与2023年预算相比持平，主要原因是本单位一般公共预算未安排‘公务用车购置费’经费。</w:t>
      </w:r>
    </w:p>
    <w:p>
      <w:pPr>
        <w:spacing w:line="560" w:lineRule="exact"/>
        <w:ind w:firstLine="645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  <w:t>三、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2024年公务接待费预算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1.6万元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，与2023年预算相比减少0.2万元，主要原因是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节约三公经费开支，压减财政拨款公务接待费支出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default" w:ascii="Calibri" w:hAnsi="Calibri" w:eastAsia="Calibri"/>
          <w:color w:val="auto"/>
          <w:kern w:val="2"/>
          <w:sz w:val="21"/>
          <w:szCs w:val="24"/>
          <w:lang w:val="zh-CN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八、关于政府性基金预算支出情况表的说明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预算中没有使用政府性基金预算安排的支出。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color w:val="auto"/>
          <w:sz w:val="30"/>
          <w:szCs w:val="24"/>
          <w:lang w:val="en-US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九、关于国有资本经营预算支出情况表的说明</w:t>
      </w:r>
    </w:p>
    <w:p>
      <w:pPr>
        <w:spacing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2024年天津博物馆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预算中没有使用国有资本经营预算安排的支出。</w:t>
      </w:r>
    </w:p>
    <w:p>
      <w:pPr>
        <w:pStyle w:val="4"/>
        <w:keepNext/>
        <w:keepLines/>
        <w:spacing w:before="260" w:after="260" w:line="600" w:lineRule="exact"/>
        <w:ind w:firstLine="600"/>
        <w:rPr>
          <w:rFonts w:hint="eastAsia" w:ascii="黑体" w:hAnsi="黑体" w:eastAsia="黑体"/>
          <w:color w:val="auto"/>
          <w:sz w:val="30"/>
          <w:szCs w:val="24"/>
          <w:lang w:val="en-US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十、其他重要事项的情况说明</w:t>
      </w:r>
    </w:p>
    <w:p>
      <w:pPr>
        <w:spacing w:line="600" w:lineRule="exact"/>
        <w:ind w:left="480"/>
        <w:jc w:val="both"/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 xml:space="preserve"> （一）机关运行经费。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仿宋" w:hAnsi="仿宋" w:eastAsia="仿宋"/>
          <w:color w:val="auto"/>
          <w:kern w:val="2"/>
          <w:sz w:val="30"/>
          <w:szCs w:val="24"/>
          <w:lang w:val="zh-CN"/>
        </w:rPr>
        <w:t xml:space="preserve"> 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天津博物馆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2024年未安排机关运行经费预算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。</w:t>
      </w:r>
    </w:p>
    <w:p>
      <w:pPr>
        <w:spacing w:line="600" w:lineRule="exact"/>
        <w:ind w:firstLine="602"/>
        <w:jc w:val="both"/>
        <w:rPr>
          <w:rFonts w:hint="default" w:ascii="MS Serif" w:hAnsi="MS Serif" w:eastAsia="MS Serif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>（二）</w:t>
      </w: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政府采购情况</w:t>
      </w: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>。</w:t>
      </w:r>
    </w:p>
    <w:p>
      <w:pPr>
        <w:spacing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本单位2024年安排政府采购预算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5,232.9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万元，其中：政府采购货物支出915.3万元、政府采购工程支出175万元、政府采购服务支出4,142.6万元。主要项目是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：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天津博物馆书画陈列展厅（第三展厅）文物预防性保护项目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906.3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万元，天津博物馆消防系统设施维修工程尾款项目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85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，天津博物馆（李叔同故居纪念馆）提升改造项目剩余款项目90万元，天津博物馆甲骨数字化保护项目429.3万元，天津革命历史类主题展项目80万元，红色记忆——天津革命文物展项目191万元，“前进 沿着光辉的足迹—毛泽东和天津人民在一起”展览项目124.8万元，天津博物馆一流展览引进项目交流项目160万元，社会化用工经费项目591.7万元，物业管理服务项目954万元，安保服务项目353.6万元等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spacing w:line="600" w:lineRule="exact"/>
        <w:ind w:firstLine="602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（三）国有资产占用情况</w:t>
      </w:r>
      <w:r>
        <w:rPr>
          <w:rFonts w:hint="eastAsia" w:ascii="楷体" w:hAnsi="楷体" w:eastAsia="楷体"/>
          <w:b/>
          <w:color w:val="auto"/>
          <w:kern w:val="2"/>
          <w:sz w:val="30"/>
          <w:szCs w:val="24"/>
          <w:lang w:val="en-US"/>
        </w:rPr>
        <w:t>。</w:t>
      </w:r>
    </w:p>
    <w:p>
      <w:pPr>
        <w:spacing w:line="580" w:lineRule="exact"/>
        <w:ind w:firstLine="600"/>
        <w:jc w:val="both"/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截至2023年7月底，本单位共有车辆2辆，其中：副部（省）级及以上领导用车0辆、主要负责人干部用车0辆、机要通信用车0辆、应急保障用车0辆、执法执勤用车0辆、特种专业技术用车0辆、离退休干部服务用车0辆、其他用车2辆，其他用车主要包括业务活动用车。单价（账面原值）100万元以上的设备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台（套）。</w:t>
      </w:r>
    </w:p>
    <w:p>
      <w:pPr>
        <w:spacing w:line="600" w:lineRule="exact"/>
        <w:ind w:firstLine="602"/>
        <w:jc w:val="both"/>
        <w:rPr>
          <w:rFonts w:hint="default" w:ascii="MS Serif" w:hAnsi="MS Serif" w:eastAsia="MS Serif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（四）预算绩效情况说明。</w:t>
      </w:r>
    </w:p>
    <w:p>
      <w:pPr>
        <w:spacing w:line="580" w:lineRule="exact"/>
        <w:ind w:firstLine="600"/>
        <w:jc w:val="both"/>
        <w:rPr>
          <w:rFonts w:hint="default" w:ascii="Times New Roman" w:hAnsi="Times New Roman" w:eastAsia="仿宋_GB2312"/>
          <w:kern w:val="2"/>
          <w:sz w:val="30"/>
          <w:szCs w:val="24"/>
          <w:lang w:val="en-US"/>
        </w:rPr>
      </w:pP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本单位2024年实行绩效目标管理的项目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19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个，涉及预算金额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zh-CN"/>
        </w:rPr>
        <w:t>6,831.7万元</w:t>
      </w:r>
      <w:r>
        <w:rPr>
          <w:rFonts w:hint="eastAsia" w:ascii="Times New Roman" w:hAnsi="Times New Roman" w:eastAsia="仿宋_GB2312"/>
          <w:kern w:val="2"/>
          <w:sz w:val="30"/>
          <w:szCs w:val="24"/>
          <w:lang w:val="en-US"/>
        </w:rPr>
        <w:t>。</w:t>
      </w: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pStyle w:val="2"/>
        <w:rPr>
          <w:rFonts w:hint="default"/>
          <w:sz w:val="24"/>
          <w:szCs w:val="24"/>
          <w:lang w:val="zh-CN"/>
        </w:rPr>
      </w:pPr>
    </w:p>
    <w:p>
      <w:pPr>
        <w:spacing w:line="580" w:lineRule="exact"/>
        <w:ind w:firstLine="600"/>
        <w:jc w:val="center"/>
        <w:rPr>
          <w:rFonts w:hint="eastAsia" w:ascii="黑体" w:hAnsi="黑体" w:eastAsia="黑体"/>
          <w:color w:val="auto"/>
          <w:kern w:val="2"/>
          <w:sz w:val="30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zh-CN"/>
        </w:rPr>
      </w:pPr>
    </w:p>
    <w:p>
      <w:pPr>
        <w:pStyle w:val="2"/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zh-CN"/>
        </w:rPr>
      </w:pPr>
    </w:p>
    <w:p>
      <w:pPr>
        <w:pStyle w:val="2"/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zh-CN"/>
        </w:rPr>
      </w:pPr>
    </w:p>
    <w:p>
      <w:pPr>
        <w:spacing w:line="580" w:lineRule="exact"/>
        <w:jc w:val="center"/>
        <w:rPr>
          <w:rFonts w:hint="eastAsia" w:ascii="黑体" w:hAnsi="黑体" w:eastAsia="黑体"/>
          <w:b/>
          <w:color w:val="auto"/>
          <w:kern w:val="2"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zh-CN"/>
        </w:rPr>
        <w:t>第三部分</w:t>
      </w:r>
      <w:r>
        <w:rPr>
          <w:rFonts w:hint="eastAsia" w:ascii="黑体" w:hAnsi="黑体" w:eastAsia="黑体"/>
          <w:b/>
          <w:color w:val="auto"/>
          <w:kern w:val="2"/>
          <w:sz w:val="44"/>
          <w:szCs w:val="24"/>
          <w:lang w:val="en-US"/>
        </w:rPr>
        <w:t xml:space="preserve">  </w:t>
      </w:r>
      <w:r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/>
        </w:rPr>
        <w:t>名词解释</w:t>
      </w:r>
    </w:p>
    <w:p>
      <w:pPr>
        <w:spacing w:line="600" w:lineRule="exact"/>
        <w:ind w:firstLine="600"/>
        <w:jc w:val="both"/>
        <w:rPr>
          <w:rFonts w:hint="eastAsia" w:ascii="仿宋_GB2312" w:hAnsi="仿宋_GB2312" w:eastAsia="仿宋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/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  <w:t>2.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jc w:val="both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pStyle w:val="2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pStyle w:val="2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pStyle w:val="2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pStyle w:val="2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pStyle w:val="2"/>
        <w:rPr>
          <w:rFonts w:hint="eastAsia" w:ascii="楷体_GB2312" w:hAnsi="楷体_GB2312" w:eastAsia="楷体_GB2312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jc w:val="both"/>
        <w:rPr>
          <w:rFonts w:hint="default" w:ascii="MS Serif" w:hAnsi="MS Serif" w:eastAsia="MS Serif"/>
          <w:color w:val="auto"/>
          <w:kern w:val="2"/>
          <w:sz w:val="30"/>
          <w:szCs w:val="24"/>
          <w:lang w:val="en-US"/>
        </w:rPr>
      </w:pPr>
    </w:p>
    <w:p>
      <w:pPr>
        <w:spacing w:line="580" w:lineRule="exact"/>
        <w:ind w:firstLine="600"/>
        <w:jc w:val="both"/>
        <w:rPr>
          <w:rFonts w:hint="default" w:ascii="MS Serif" w:hAnsi="MS Serif" w:eastAsia="MS Serif"/>
          <w:color w:val="auto"/>
          <w:kern w:val="2"/>
          <w:sz w:val="30"/>
          <w:szCs w:val="24"/>
          <w:lang w:val="en-US"/>
        </w:rPr>
      </w:pPr>
    </w:p>
    <w:p>
      <w:pPr>
        <w:numPr>
          <w:ilvl w:val="0"/>
          <w:numId w:val="0"/>
        </w:numPr>
        <w:spacing w:line="580" w:lineRule="exact"/>
        <w:jc w:val="center"/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 w:eastAsia="zh-CN"/>
        </w:rPr>
        <w:t>第四部分</w:t>
      </w:r>
      <w:r>
        <w:rPr>
          <w:rFonts w:hint="eastAsia" w:ascii="黑体" w:hAnsi="黑体" w:eastAsia="黑体"/>
          <w:b/>
          <w:color w:val="auto"/>
          <w:kern w:val="2"/>
          <w:sz w:val="44"/>
          <w:szCs w:val="24"/>
          <w:lang w:val="en-US"/>
        </w:rPr>
        <w:t xml:space="preserve"> </w:t>
      </w:r>
      <w:r>
        <w:rPr>
          <w:rFonts w:hint="eastAsia" w:ascii="方正小标宋简体" w:hAnsi="方正小标宋简体" w:eastAsia="方正小标宋简体"/>
          <w:b/>
          <w:color w:val="auto"/>
          <w:kern w:val="44"/>
          <w:sz w:val="44"/>
          <w:szCs w:val="24"/>
          <w:lang w:val="en-US"/>
        </w:rPr>
        <w:t>2024年单位预算表</w:t>
      </w:r>
    </w:p>
    <w:p>
      <w:pPr>
        <w:pStyle w:val="2"/>
        <w:numPr>
          <w:ilvl w:val="0"/>
          <w:numId w:val="0"/>
        </w:numPr>
        <w:ind w:firstLine="0"/>
        <w:rPr>
          <w:rFonts w:hint="default"/>
          <w:sz w:val="24"/>
          <w:szCs w:val="24"/>
          <w:lang w:val="en-US"/>
        </w:rPr>
      </w:pP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一、《收支总体情况表》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二、《收入总体情况表》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三、《支出总体情况表》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四、《财政拨款收支总体情况表》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五、《一般公共预算支出情况表》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六、《一般公共预算基本支出情况表》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七、《一般公共预算“三公”经费支出情况表》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八、《政府性基金预算支出情况表》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九、《国有资本经营预算支出情况表》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十、《项目支出表》</w:t>
      </w:r>
    </w:p>
    <w:p>
      <w:pPr>
        <w:spacing w:line="560" w:lineRule="exact"/>
        <w:ind w:left="480"/>
        <w:jc w:val="both"/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>十一、关于空表的说明</w:t>
      </w:r>
      <w:r>
        <w:rPr>
          <w:rFonts w:hint="eastAsia" w:ascii="楷体_GB2312" w:hAnsi="楷体_GB2312" w:eastAsia="楷体_GB2312"/>
          <w:b/>
          <w:color w:val="auto"/>
          <w:kern w:val="2"/>
          <w:sz w:val="30"/>
          <w:szCs w:val="24"/>
          <w:lang w:val="en-US"/>
        </w:rPr>
        <w:tab/>
      </w:r>
    </w:p>
    <w:p>
      <w:pPr>
        <w:spacing w:line="560" w:lineRule="exact"/>
        <w:ind w:firstLine="600"/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color w:val="auto"/>
          <w:sz w:val="30"/>
          <w:szCs w:val="24"/>
          <w:lang w:val="en-US" w:eastAsia="zh-CN"/>
        </w:rPr>
        <w:t>1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.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zh-CN"/>
        </w:rPr>
        <w:t>天津博物馆</w:t>
      </w:r>
      <w:r>
        <w:rPr>
          <w:rFonts w:hint="default" w:ascii="Times New Roman" w:hAnsi="Times New Roman" w:eastAsia="楷体_GB2312"/>
          <w:color w:val="auto"/>
          <w:sz w:val="30"/>
          <w:szCs w:val="24"/>
          <w:lang w:val="en-US"/>
        </w:rPr>
        <w:t>2024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年政府性基金预算支出情况表为空表。</w:t>
      </w:r>
    </w:p>
    <w:p>
      <w:pPr>
        <w:spacing w:line="560" w:lineRule="exact"/>
        <w:ind w:firstLine="600"/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</w:pPr>
      <w:r>
        <w:rPr>
          <w:rFonts w:hint="eastAsia" w:ascii="楷体_GB2312" w:hAnsi="楷体_GB2312" w:eastAsia="楷体_GB2312"/>
          <w:color w:val="auto"/>
          <w:sz w:val="30"/>
          <w:szCs w:val="24"/>
          <w:lang w:val="en-US" w:eastAsia="zh-CN"/>
        </w:rPr>
        <w:t>2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.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zh-CN"/>
        </w:rPr>
        <w:t>天津博物馆</w:t>
      </w:r>
      <w:r>
        <w:rPr>
          <w:rFonts w:hint="default" w:ascii="Times New Roman" w:hAnsi="Times New Roman" w:eastAsia="楷体_GB2312"/>
          <w:color w:val="auto"/>
          <w:sz w:val="30"/>
          <w:szCs w:val="24"/>
          <w:lang w:val="en-US"/>
        </w:rPr>
        <w:t>2024</w:t>
      </w:r>
      <w:r>
        <w:rPr>
          <w:rFonts w:hint="eastAsia" w:ascii="楷体_GB2312" w:hAnsi="楷体_GB2312" w:eastAsia="楷体_GB2312"/>
          <w:color w:val="auto"/>
          <w:sz w:val="30"/>
          <w:szCs w:val="24"/>
          <w:lang w:val="en-US"/>
        </w:rPr>
        <w:t>年国有资本经营预算支出情况表为空表。</w:t>
      </w:r>
    </w:p>
    <w:p>
      <w:pPr>
        <w:jc w:val="both"/>
        <w:rPr>
          <w:rFonts w:hint="eastAsia" w:ascii="黑体" w:hAnsi="黑体" w:eastAsia="黑体"/>
          <w:color w:val="auto"/>
          <w:kern w:val="2"/>
          <w:sz w:val="32"/>
          <w:szCs w:val="24"/>
          <w:lang w:val="zh-CN"/>
        </w:rPr>
      </w:pPr>
    </w:p>
    <w:p>
      <w:pPr>
        <w:jc w:val="both"/>
        <w:rPr>
          <w:rFonts w:hint="default" w:ascii="Times New Roman" w:hAnsi="Times New Roman" w:eastAsia="Times New Roman"/>
          <w:color w:val="auto"/>
          <w:kern w:val="2"/>
          <w:sz w:val="44"/>
          <w:szCs w:val="24"/>
          <w:lang w:val="zh-CN"/>
        </w:rPr>
      </w:pPr>
    </w:p>
    <w:p>
      <w:pPr>
        <w:jc w:val="both"/>
        <w:rPr>
          <w:rFonts w:hint="default" w:ascii="Calibri" w:hAnsi="Calibri" w:eastAsia="Calibri"/>
          <w:color w:val="auto"/>
          <w:kern w:val="2"/>
          <w:sz w:val="21"/>
          <w:szCs w:val="24"/>
          <w:lang w:val="zh-CN"/>
        </w:rPr>
      </w:pPr>
    </w:p>
    <w:p>
      <w:pPr>
        <w:rPr>
          <w:rFonts w:hint="default" w:ascii="Times New Roman" w:hAnsi="Times New Roman" w:eastAsia="Times New Roman"/>
          <w:color w:val="auto"/>
          <w:kern w:val="2"/>
          <w:sz w:val="44"/>
          <w:szCs w:val="24"/>
          <w:lang w:val="zh-CN"/>
        </w:rPr>
      </w:pPr>
    </w:p>
    <w:p>
      <w:pPr>
        <w:rPr>
          <w:rFonts w:hint="default" w:ascii="Times New Roman" w:hAnsi="Times New Roman" w:eastAsia="Times New Roman"/>
          <w:color w:val="auto"/>
          <w:sz w:val="24"/>
          <w:szCs w:val="24"/>
          <w:lang w:val="zh-CN"/>
        </w:rPr>
      </w:pPr>
    </w:p>
    <w:p>
      <w:pPr>
        <w:rPr>
          <w:rFonts w:hint="default" w:ascii="Times New Roman" w:hAnsi="Times New Roman" w:eastAsia="Times New Roman"/>
          <w:color w:val="auto"/>
          <w:kern w:val="2"/>
          <w:sz w:val="44"/>
          <w:szCs w:val="24"/>
          <w:lang w:val="zh-CN"/>
        </w:rPr>
      </w:pPr>
    </w:p>
    <w:p>
      <w:pPr>
        <w:rPr>
          <w:rFonts w:hint="default" w:ascii="Times New Roman" w:hAnsi="Times New Roman" w:eastAsia="Times New Roman"/>
          <w:color w:val="auto"/>
          <w:sz w:val="24"/>
          <w:szCs w:val="24"/>
          <w:lang w:val="zh-CN"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erif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sz w:val="18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鏂囨湰妗?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鏂囨湰妗?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+hgFG6AQAAVAMAAA4AAABkcnMv&#10;ZTJvRG9jLnhtbK1TzWobMRC+F/oOQvdaa1OKWbw2CSGhUNpC2geQtZJXoD9Gsnd97Qv02EPvJcdc&#10;80Ap9C06kr1Om9xCLvJoZvzN932jXawGa8hOQtTeNXQ6qSiRTvhWu01Dv365fDOnJCbuWm68kw3d&#10;y0hXy9evFn2o5cx33rQSCIK4WPehoV1KoWYsik5aHic+SIdF5cHyhFfYsBZ4j+jWsFlVvWO9hzaA&#10;FzJGzF4cinRZ8JWSIn1SKspETEORWyonlHOdT7Zc8HoDPHRaHGnwZ7CwXDsceoK64ImTLegnUFYL&#10;8NGrNBHeMq+UFrJoQDXT6pGa644HWbSgOTGcbIovBys+7j4D0S3ujhLHLa7oz/dv9z9vft/d3v/6&#10;sXqbHepDrLHxOmBrGs790NAEWzmWIuaz9kGBzb+oimAL2r0/WSyHRAQmp/PZfF5hSWBtvOAI9vD3&#10;ADFdSW9JDhoKuMNiLd99iOnQOrbkac5famPKHo37L4GYOcMy/QPHHKVhPRw1rX27R0k9rr+hDt8n&#10;Jea9Q3fzSxkDGIP1GGwD6E2H1IoJeWQMZ9uEPAq9POSAfJyNqysCj88sv41/76Xr4WNY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OqXm5zwAAAAUBAAAPAAAAAAAAAAEAIAAAADgAAABkcnMvZG93&#10;bnJldi54bWxQSwECFAAUAAAACACHTuJAX6GAUboBAABUAwAADgAAAAAAAAABACAAAAA0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default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true"/>
  <w:drawingGridHorizontalOrigin w:val="1701"/>
  <w:drawingGridVerticalOrigin w:val="1984"/>
  <w:doNotShadeFormData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D7AE5A"/>
    <w:rsid w:val="77FEAFF0"/>
    <w:rsid w:val="E6BEF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3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4">
    <w:name w:val="heading 2"/>
    <w:basedOn w:val="1"/>
    <w:next w:val="1"/>
    <w:unhideWhenUsed/>
    <w:qFormat/>
    <w:uiPriority w:val="99"/>
    <w:rPr>
      <w:rFonts w:hint="default"/>
      <w:sz w:val="24"/>
      <w:szCs w:val="24"/>
    </w:rPr>
  </w:style>
  <w:style w:type="character" w:default="1" w:styleId="8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0"/>
    <w:pPr>
      <w:ind w:firstLine="420" w:firstLineChars="200"/>
    </w:pPr>
    <w:rPr>
      <w:rFonts w:hint="default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2024-03-07T06:34:00Z</dcterms:created>
  <dc:creator>kylin</dc:creator>
  <cp:lastModifiedBy>kylin</cp:lastModifiedBy>
  <dcterms:modified xsi:type="dcterms:W3CDTF">2024-03-06T17:40:09Z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