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天津博物馆</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w:t>
      </w:r>
      <w:bookmarkStart w:id="19" w:name="_GoBack"/>
      <w:bookmarkEnd w:id="19"/>
      <w:r>
        <w:rPr>
          <w:rFonts w:hint="eastAsia" w:ascii="方正小标宋简体" w:hAnsi="方正小标宋_GBK" w:eastAsia="方正小标宋简体" w:cs="方正小标宋_GBK"/>
          <w:color w:val="000000"/>
          <w:sz w:val="56"/>
          <w:lang w:eastAsia="zh-CN"/>
        </w:rPr>
        <w:t>标表</w:t>
      </w:r>
    </w:p>
    <w:p>
      <w:pPr>
        <w:jc w:val="center"/>
        <w:rPr>
          <w:rFonts w:hint="eastAsia"/>
        </w:r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r>
        <w:rPr>
          <w:rFonts w:hint="eastAsia" w:ascii="宋体" w:hAnsi="宋体" w:eastAsia="宋体" w:cs="宋体"/>
          <w:sz w:val="21"/>
          <w:lang w:val="uk-UA"/>
        </w:rPr>
        <w:t xml:space="preserve"> </w:t>
      </w:r>
    </w:p>
    <w:p>
      <w:pPr>
        <w:jc w:val="center"/>
      </w:pPr>
      <w:r>
        <w:rPr>
          <w:rFonts w:hint="eastAsia" w:ascii="宋体" w:hAnsi="宋体" w:eastAsia="宋体" w:cs="宋体"/>
          <w:sz w:val="21"/>
        </w:rPr>
        <w:t xml:space="preserve"> </w:t>
      </w:r>
    </w:p>
    <w:p>
      <w:pPr>
        <w:sectPr>
          <w:pgSz w:w="11900" w:h="16840"/>
          <w:pgMar w:top="1984" w:right="1304" w:bottom="1134" w:left="1304" w:header="720" w:footer="720" w:gutter="0"/>
          <w:cols w:space="720" w:num="1"/>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r>
        <w:rPr>
          <w:rFonts w:ascii="方正小标宋_GBK" w:hAnsi="方正小标宋_GBK" w:eastAsia="方正小标宋_GBK" w:cs="方正小标宋_GBK"/>
          <w:sz w:val="30"/>
        </w:rPr>
        <w:t xml:space="preserve"> </w:t>
      </w:r>
    </w:p>
    <w:p>
      <w:pPr>
        <w:pStyle w:val="9"/>
        <w:tabs>
          <w:tab w:val="right" w:pos="9282"/>
        </w:tabs>
        <w:rPr>
          <w:rStyle w:val="16"/>
          <w:rFonts w:hint="eastAsia" w:ascii="方正仿宋_GBK" w:hAnsi="方正仿宋_GBK" w:eastAsia="方正仿宋_GBK" w:cs="方正仿宋_GBK"/>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"_Toc157760395"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博物馆、纪念馆免费开放补助经费绩效目标表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"_Toc157760396"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rPr>
        <w:t>2.</w:t>
      </w:r>
      <w:r>
        <w:rPr>
          <w:rStyle w:val="16"/>
          <w:rFonts w:hint="eastAsia" w:ascii="方正仿宋_GBK" w:hAnsi="方正仿宋_GBK" w:eastAsia="方正仿宋_GBK" w:cs="方正仿宋_GBK"/>
        </w:rPr>
        <w:t>社会化用工经费绩效目标表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"_Toc157760397"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rPr>
        <w:t>3.</w:t>
      </w:r>
      <w:r>
        <w:rPr>
          <w:rStyle w:val="16"/>
          <w:rFonts w:hint="eastAsia" w:ascii="方正仿宋_GBK" w:hAnsi="方正仿宋_GBK" w:eastAsia="方正仿宋_GBK" w:cs="方正仿宋_GBK"/>
        </w:rPr>
        <w:t>天津博物馆运行经费绩效目标表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"_Toc157760398"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4</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博物馆、纪念馆免费开放补助经费-</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"_Toc157760399"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5</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 xml:space="preserve">前进 </w:t>
      </w:r>
      <w:r>
        <w:rPr>
          <w:rStyle w:val="16"/>
          <w:rFonts w:hint="eastAsia" w:ascii="方正仿宋_GBK" w:hAnsi="方正仿宋_GBK" w:eastAsia="方正仿宋_GBK" w:cs="方正仿宋_GBK"/>
        </w:rPr>
        <w:t>沿着光辉的足迹—</w:t>
      </w:r>
      <w:r>
        <w:rPr>
          <w:rStyle w:val="16"/>
          <w:rFonts w:hint="eastAsia" w:ascii="方正仿宋_GBK" w:hAnsi="方正仿宋_GBK" w:eastAsia="方正仿宋_GBK" w:cs="方正仿宋_GBK"/>
        </w:rPr>
        <w:t>毛泽东和天津人民在一起”</w:t>
      </w:r>
      <w:r>
        <w:rPr>
          <w:rStyle w:val="16"/>
          <w:rFonts w:hint="eastAsia" w:ascii="方正仿宋_GBK" w:hAnsi="方正仿宋_GBK" w:eastAsia="方正仿宋_GBK" w:cs="方正仿宋_GBK"/>
        </w:rPr>
        <w:t>展览项目绩效目标表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"_Toc157760400"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6</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红色基因库建设项目绩效目标表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"_Toc157760401"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7</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红色记忆——</w:t>
      </w:r>
      <w:r>
        <w:rPr>
          <w:rStyle w:val="16"/>
          <w:rFonts w:hint="eastAsia" w:ascii="方正仿宋_GBK" w:hAnsi="方正仿宋_GBK" w:eastAsia="方正仿宋_GBK" w:cs="方正仿宋_GBK"/>
        </w:rPr>
        <w:t>天津革命文物展绩效目标表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"_Toc157760402"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8</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人才培养经费绩效目标表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"_Toc157760403"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9</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天津博物馆一流展览引进项目交流绩效目标表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"_Toc157760404"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10</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天津博物馆与香港中文大学文物馆展览交流项目绩效目标表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"_Toc157760405"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11</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天津革命历史类主题展绩效目标表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lang w:val="en-US" w:eastAsia="zh-CN"/>
        </w:rPr>
        <w:t>1</w:t>
      </w: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"_Toc157760406"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rPr>
        <w:t>2.</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职业教育创优赋能建设项目-</w:t>
      </w:r>
      <w:r>
        <w:rPr>
          <w:rStyle w:val="16"/>
          <w:rFonts w:hint="eastAsia" w:ascii="方正仿宋_GBK" w:hAnsi="方正仿宋_GBK" w:eastAsia="方正仿宋_GBK" w:cs="方正仿宋_GBK"/>
        </w:rPr>
        <w:t>传统文化专业群绩效目标表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"_Toc157760407"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13</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非财政拨款项目支出-</w:t>
      </w:r>
      <w:r>
        <w:rPr>
          <w:rStyle w:val="16"/>
          <w:rFonts w:hint="eastAsia" w:ascii="方正仿宋_GBK" w:hAnsi="方正仿宋_GBK" w:eastAsia="方正仿宋_GBK" w:cs="方正仿宋_GBK"/>
        </w:rPr>
        <w:t>中法建交60</w:t>
      </w:r>
      <w:r>
        <w:rPr>
          <w:rStyle w:val="16"/>
          <w:rFonts w:hint="eastAsia" w:ascii="方正仿宋_GBK" w:hAnsi="方正仿宋_GBK" w:eastAsia="方正仿宋_GBK" w:cs="方正仿宋_GBK"/>
        </w:rPr>
        <w:t>周年“</w:t>
      </w:r>
      <w:r>
        <w:rPr>
          <w:rStyle w:val="16"/>
          <w:rFonts w:hint="eastAsia" w:ascii="方正仿宋_GBK" w:hAnsi="方正仿宋_GBK" w:eastAsia="方正仿宋_GBK" w:cs="方正仿宋_GBK"/>
        </w:rPr>
        <w:t>唐代文物主题展览”</w:t>
      </w:r>
      <w:r>
        <w:rPr>
          <w:rStyle w:val="16"/>
          <w:rFonts w:hint="eastAsia" w:ascii="方正仿宋_GBK" w:hAnsi="方正仿宋_GBK" w:eastAsia="方正仿宋_GBK" w:cs="方正仿宋_GBK"/>
        </w:rPr>
        <w:t>项目绩效目标表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"_Toc157760408"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w:t>
      </w:r>
      <w:r>
        <w:rPr>
          <w:rStyle w:val="16"/>
          <w:rFonts w:hint="eastAsia" w:ascii="方正仿宋_GBK" w:hAnsi="方正仿宋_GBK" w:eastAsia="方正仿宋_GBK" w:cs="方正仿宋_GBK"/>
        </w:rPr>
        <w:t>4.</w:t>
      </w:r>
      <w:r>
        <w:rPr>
          <w:rStyle w:val="16"/>
          <w:rFonts w:hint="eastAsia" w:ascii="方正仿宋_GBK" w:hAnsi="方正仿宋_GBK" w:eastAsia="方正仿宋_GBK" w:cs="方正仿宋_GBK"/>
        </w:rPr>
        <w:t>天津博物馆（李叔同故居纪念馆）提升改造项目剩余款项绩效目标表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"_Toc157760409"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15</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天津博物馆甲骨数字化保护项目（2024</w:t>
      </w:r>
      <w:r>
        <w:rPr>
          <w:rStyle w:val="16"/>
          <w:rFonts w:hint="eastAsia" w:ascii="方正仿宋_GBK" w:hAnsi="方正仿宋_GBK" w:eastAsia="方正仿宋_GBK" w:cs="方正仿宋_GBK"/>
        </w:rPr>
        <w:t>年国家文物保护专项资金）-</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"_Toc157760410"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16</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天津博物馆书画陈列展厅（第二展厅）文物预防性保护项目（2023</w:t>
      </w:r>
      <w:r>
        <w:rPr>
          <w:rStyle w:val="16"/>
          <w:rFonts w:hint="eastAsia" w:ascii="方正仿宋_GBK" w:hAnsi="方正仿宋_GBK" w:eastAsia="方正仿宋_GBK" w:cs="方正仿宋_GBK"/>
        </w:rPr>
        <w:t>年国家文物保护专项资金）-</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"_Toc157760411"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17</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天津博物馆书画陈列展厅（第三展厅）文物预防性保护项目（2024</w:t>
      </w:r>
      <w:r>
        <w:rPr>
          <w:rStyle w:val="16"/>
          <w:rFonts w:hint="eastAsia" w:ascii="方正仿宋_GBK" w:hAnsi="方正仿宋_GBK" w:eastAsia="方正仿宋_GBK" w:cs="方正仿宋_GBK"/>
        </w:rPr>
        <w:t>年国家文物保护专项资金）-</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"_Toc157760412"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18</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天津博物馆消防系统设施维修工程尾款绩效目标表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"_Toc157760413"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19</w:t>
      </w:r>
      <w:r>
        <w:rPr>
          <w:rStyle w:val="16"/>
          <w:rFonts w:hint="eastAsia" w:ascii="方正仿宋_GBK" w:hAnsi="方正仿宋_GBK" w:eastAsia="方正仿宋_GBK" w:cs="方正仿宋_GBK"/>
        </w:rPr>
        <w:t>.</w:t>
      </w:r>
      <w:r>
        <w:rPr>
          <w:rStyle w:val="16"/>
          <w:rFonts w:hint="eastAsia" w:ascii="方正仿宋_GBK" w:hAnsi="方正仿宋_GBK" w:eastAsia="方正仿宋_GBK" w:cs="方正仿宋_GBK"/>
        </w:rPr>
        <w:t>中央对地方博物馆纪念馆免费开放补助资金-</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r>
        <w:rPr>
          <w:rFonts w:ascii="方正仿宋_GBK" w:hAnsi="方正仿宋_GBK" w:eastAsia="方正仿宋_GBK" w:cs="方正仿宋_GBK"/>
          <w:sz w:val="28"/>
        </w:rPr>
        <w:t xml:space="preserve"> </w:t>
      </w:r>
    </w:p>
    <w:p>
      <w:pPr>
        <w:ind w:firstLine="560"/>
        <w:outlineLvl w:val="3"/>
      </w:pPr>
      <w:bookmarkStart w:id="0" w:name="_Toc157760395"/>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.博物馆、纪念馆免费开放补助经费绩效目标表</w:t>
      </w:r>
      <w:bookmarkEnd w:id="0"/>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153.30</w:t>
            </w:r>
          </w:p>
        </w:tc>
        <w:tc>
          <w:tcPr>
            <w:tcW w:w="1327" w:type="dxa"/>
            <w:vAlign w:val="center"/>
          </w:tcPr>
          <w:p>
            <w:pPr>
              <w:pStyle w:val="23"/>
            </w:pPr>
            <w:r>
              <w:t>其中：财政    资金</w:t>
            </w:r>
          </w:p>
        </w:tc>
        <w:tc>
          <w:tcPr>
            <w:tcW w:w="1327" w:type="dxa"/>
            <w:vAlign w:val="center"/>
          </w:tcPr>
          <w:p>
            <w:pPr>
              <w:pStyle w:val="22"/>
            </w:pPr>
            <w:r>
              <w:t>153.30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通过保障场馆正常运转开放，不断提升博物馆服务水平。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1.通过保障场馆正常运转开放，不断提升博物馆服务水平。</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场馆面积</w:t>
            </w:r>
          </w:p>
        </w:tc>
        <w:tc>
          <w:tcPr>
            <w:tcW w:w="2654" w:type="dxa"/>
            <w:vAlign w:val="center"/>
          </w:tcPr>
          <w:p>
            <w:pPr>
              <w:pStyle w:val="22"/>
            </w:pPr>
            <w:r>
              <w:t>场馆面积</w:t>
            </w:r>
          </w:p>
        </w:tc>
        <w:tc>
          <w:tcPr>
            <w:tcW w:w="2654" w:type="dxa"/>
            <w:vAlign w:val="center"/>
          </w:tcPr>
          <w:p>
            <w:pPr>
              <w:pStyle w:val="22"/>
            </w:pPr>
            <w:r>
              <w:t>114628平方米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场馆正常运转率</w:t>
            </w:r>
          </w:p>
        </w:tc>
        <w:tc>
          <w:tcPr>
            <w:tcW w:w="2654" w:type="dxa"/>
            <w:vAlign w:val="center"/>
          </w:tcPr>
          <w:p>
            <w:pPr>
              <w:pStyle w:val="22"/>
            </w:pPr>
            <w:r>
              <w:t>场馆正常运转率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场馆开放时间</w:t>
            </w:r>
          </w:p>
        </w:tc>
        <w:tc>
          <w:tcPr>
            <w:tcW w:w="2654" w:type="dxa"/>
            <w:vAlign w:val="center"/>
          </w:tcPr>
          <w:p>
            <w:pPr>
              <w:pStyle w:val="22"/>
            </w:pPr>
            <w:r>
              <w:t>场馆开放时间</w:t>
            </w:r>
          </w:p>
        </w:tc>
        <w:tc>
          <w:tcPr>
            <w:tcW w:w="2654" w:type="dxa"/>
            <w:vAlign w:val="center"/>
          </w:tcPr>
          <w:p>
            <w:pPr>
              <w:pStyle w:val="22"/>
            </w:pPr>
            <w:r>
              <w:t>2024年1月-12月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取暖费</w:t>
            </w:r>
          </w:p>
        </w:tc>
        <w:tc>
          <w:tcPr>
            <w:tcW w:w="2654" w:type="dxa"/>
            <w:vAlign w:val="center"/>
          </w:tcPr>
          <w:p>
            <w:pPr>
              <w:pStyle w:val="22"/>
            </w:pPr>
            <w:r>
              <w:t>取暖费</w:t>
            </w:r>
          </w:p>
        </w:tc>
        <w:tc>
          <w:tcPr>
            <w:tcW w:w="2654" w:type="dxa"/>
            <w:vAlign w:val="center"/>
          </w:tcPr>
          <w:p>
            <w:pPr>
              <w:pStyle w:val="22"/>
            </w:pPr>
            <w:r>
              <w:t>≤153.3万元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提升博物馆服务水平</w:t>
            </w:r>
          </w:p>
        </w:tc>
        <w:tc>
          <w:tcPr>
            <w:tcW w:w="2654" w:type="dxa"/>
            <w:vAlign w:val="center"/>
          </w:tcPr>
          <w:p>
            <w:pPr>
              <w:pStyle w:val="22"/>
            </w:pPr>
            <w:r>
              <w:t>提升博物馆服务水平</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60396"/>
      <w:r>
        <w:rPr>
          <w:rFonts w:ascii="方正仿宋_GBK" w:hAnsi="方正仿宋_GBK" w:eastAsia="方正仿宋_GBK" w:cs="方正仿宋_GBK"/>
          <w:sz w:val="28"/>
        </w:rPr>
        <w:t>2.社会化用工经费绩效目标表</w:t>
      </w:r>
      <w:bookmarkEnd w:id="1"/>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591.70</w:t>
            </w:r>
          </w:p>
        </w:tc>
        <w:tc>
          <w:tcPr>
            <w:tcW w:w="1327" w:type="dxa"/>
            <w:vAlign w:val="center"/>
          </w:tcPr>
          <w:p>
            <w:pPr>
              <w:pStyle w:val="23"/>
            </w:pPr>
            <w:r>
              <w:t>其中：财政    资金</w:t>
            </w:r>
          </w:p>
        </w:tc>
        <w:tc>
          <w:tcPr>
            <w:tcW w:w="1327" w:type="dxa"/>
            <w:vAlign w:val="center"/>
          </w:tcPr>
          <w:p>
            <w:pPr>
              <w:pStyle w:val="22"/>
            </w:pPr>
            <w:r>
              <w:t>591.70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通过保障场馆正常运转，不断提升博物馆服务水平。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1.通过保障场馆正常运转，不断提升博物馆服务水平。</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保障人员数量</w:t>
            </w:r>
          </w:p>
        </w:tc>
        <w:tc>
          <w:tcPr>
            <w:tcW w:w="2654" w:type="dxa"/>
            <w:vAlign w:val="center"/>
          </w:tcPr>
          <w:p>
            <w:pPr>
              <w:pStyle w:val="22"/>
            </w:pPr>
            <w:r>
              <w:t>保障人员数量</w:t>
            </w:r>
          </w:p>
        </w:tc>
        <w:tc>
          <w:tcPr>
            <w:tcW w:w="2654" w:type="dxa"/>
            <w:vAlign w:val="center"/>
          </w:tcPr>
          <w:p>
            <w:pPr>
              <w:pStyle w:val="22"/>
            </w:pPr>
            <w:r>
              <w:t>75人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工资发放到位率</w:t>
            </w:r>
          </w:p>
        </w:tc>
        <w:tc>
          <w:tcPr>
            <w:tcW w:w="2654" w:type="dxa"/>
            <w:vAlign w:val="center"/>
          </w:tcPr>
          <w:p>
            <w:pPr>
              <w:pStyle w:val="22"/>
            </w:pPr>
            <w:r>
              <w:t>工资发放到位率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工资发放时长</w:t>
            </w:r>
          </w:p>
        </w:tc>
        <w:tc>
          <w:tcPr>
            <w:tcW w:w="2654" w:type="dxa"/>
            <w:vAlign w:val="center"/>
          </w:tcPr>
          <w:p>
            <w:pPr>
              <w:pStyle w:val="22"/>
            </w:pPr>
            <w:r>
              <w:t>工资发放时长</w:t>
            </w:r>
          </w:p>
        </w:tc>
        <w:tc>
          <w:tcPr>
            <w:tcW w:w="2654" w:type="dxa"/>
            <w:vAlign w:val="center"/>
          </w:tcPr>
          <w:p>
            <w:pPr>
              <w:pStyle w:val="22"/>
            </w:pPr>
            <w:r>
              <w:t>2024年1月-12月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社会化用工工资</w:t>
            </w:r>
          </w:p>
        </w:tc>
        <w:tc>
          <w:tcPr>
            <w:tcW w:w="2654" w:type="dxa"/>
            <w:vAlign w:val="center"/>
          </w:tcPr>
          <w:p>
            <w:pPr>
              <w:pStyle w:val="22"/>
            </w:pPr>
            <w:r>
              <w:t>社会化用工工资</w:t>
            </w:r>
          </w:p>
        </w:tc>
        <w:tc>
          <w:tcPr>
            <w:tcW w:w="2654" w:type="dxa"/>
            <w:vAlign w:val="center"/>
          </w:tcPr>
          <w:p>
            <w:pPr>
              <w:pStyle w:val="22"/>
            </w:pPr>
            <w:r>
              <w:t>≤591.7万元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保障场馆正常运转率</w:t>
            </w:r>
          </w:p>
        </w:tc>
        <w:tc>
          <w:tcPr>
            <w:tcW w:w="2654" w:type="dxa"/>
            <w:vAlign w:val="center"/>
          </w:tcPr>
          <w:p>
            <w:pPr>
              <w:pStyle w:val="22"/>
            </w:pPr>
            <w:r>
              <w:t>保障场馆正常运转率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社会用员工满意度</w:t>
            </w:r>
          </w:p>
        </w:tc>
        <w:tc>
          <w:tcPr>
            <w:tcW w:w="2654" w:type="dxa"/>
            <w:vAlign w:val="center"/>
          </w:tcPr>
          <w:p>
            <w:pPr>
              <w:pStyle w:val="22"/>
            </w:pPr>
            <w:r>
              <w:t>社会用员工满意度</w:t>
            </w:r>
          </w:p>
        </w:tc>
        <w:tc>
          <w:tcPr>
            <w:tcW w:w="2654"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60397"/>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.天津博物馆运行经费绩效目标表</w:t>
      </w:r>
      <w:bookmarkEnd w:id="2"/>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2623.40</w:t>
            </w:r>
          </w:p>
        </w:tc>
        <w:tc>
          <w:tcPr>
            <w:tcW w:w="1327" w:type="dxa"/>
            <w:vAlign w:val="center"/>
          </w:tcPr>
          <w:p>
            <w:pPr>
              <w:pStyle w:val="23"/>
            </w:pPr>
            <w:r>
              <w:t>其中：财政    资金</w:t>
            </w:r>
          </w:p>
        </w:tc>
        <w:tc>
          <w:tcPr>
            <w:tcW w:w="1327" w:type="dxa"/>
            <w:vAlign w:val="center"/>
          </w:tcPr>
          <w:p>
            <w:pPr>
              <w:pStyle w:val="22"/>
            </w:pPr>
            <w:r>
              <w:t>2623.40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保证天津博物馆、天津美术馆、李叔同故居纪念馆的正常运转，为群众提供良好的参观场所。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1.保证天津博物馆、天津美术馆、李叔同故居纪念馆的正常运转，为群众提供良好的参观场所。</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场馆面积</w:t>
            </w:r>
          </w:p>
        </w:tc>
        <w:tc>
          <w:tcPr>
            <w:tcW w:w="2654" w:type="dxa"/>
            <w:vAlign w:val="center"/>
          </w:tcPr>
          <w:p>
            <w:pPr>
              <w:pStyle w:val="22"/>
            </w:pPr>
            <w:r>
              <w:t>场馆面积</w:t>
            </w:r>
          </w:p>
        </w:tc>
        <w:tc>
          <w:tcPr>
            <w:tcW w:w="2654" w:type="dxa"/>
            <w:vAlign w:val="center"/>
          </w:tcPr>
          <w:p>
            <w:pPr>
              <w:pStyle w:val="22"/>
            </w:pPr>
            <w:r>
              <w:t>114628平方米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 xml:space="preserve"> 场馆正常运行率</w:t>
            </w:r>
          </w:p>
        </w:tc>
        <w:tc>
          <w:tcPr>
            <w:tcW w:w="2654" w:type="dxa"/>
            <w:vAlign w:val="center"/>
          </w:tcPr>
          <w:p>
            <w:pPr>
              <w:pStyle w:val="22"/>
            </w:pPr>
            <w:r>
              <w:t xml:space="preserve"> 场馆正常运行率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场馆设备维护及时率</w:t>
            </w:r>
          </w:p>
        </w:tc>
        <w:tc>
          <w:tcPr>
            <w:tcW w:w="2654" w:type="dxa"/>
            <w:vAlign w:val="center"/>
          </w:tcPr>
          <w:p>
            <w:pPr>
              <w:pStyle w:val="22"/>
            </w:pPr>
            <w:r>
              <w:t>场馆设备维护及时率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天津博物馆运行经费</w:t>
            </w:r>
          </w:p>
        </w:tc>
        <w:tc>
          <w:tcPr>
            <w:tcW w:w="2654" w:type="dxa"/>
            <w:vAlign w:val="center"/>
          </w:tcPr>
          <w:p>
            <w:pPr>
              <w:pStyle w:val="22"/>
            </w:pPr>
            <w:r>
              <w:t>天津博物馆运行经费</w:t>
            </w:r>
          </w:p>
        </w:tc>
        <w:tc>
          <w:tcPr>
            <w:tcW w:w="2654" w:type="dxa"/>
            <w:vAlign w:val="center"/>
          </w:tcPr>
          <w:p>
            <w:pPr>
              <w:pStyle w:val="22"/>
            </w:pPr>
            <w:r>
              <w:t>≤2623.4万元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保障场馆正常运行</w:t>
            </w:r>
          </w:p>
        </w:tc>
        <w:tc>
          <w:tcPr>
            <w:tcW w:w="2654" w:type="dxa"/>
            <w:vAlign w:val="center"/>
          </w:tcPr>
          <w:p>
            <w:pPr>
              <w:pStyle w:val="22"/>
            </w:pPr>
            <w:r>
              <w:t>保障场馆正常运行</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场馆使用人员满意度 </w:t>
            </w:r>
          </w:p>
        </w:tc>
        <w:tc>
          <w:tcPr>
            <w:tcW w:w="2654" w:type="dxa"/>
            <w:vAlign w:val="center"/>
          </w:tcPr>
          <w:p>
            <w:pPr>
              <w:pStyle w:val="22"/>
            </w:pPr>
            <w:r>
              <w:t xml:space="preserve">场馆使用人员满意度 </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60398"/>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.博物馆、纪念馆免费开放补助经费-中央绩效目标表</w:t>
      </w:r>
      <w:bookmarkEnd w:id="3"/>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博物馆、纪念馆免费开放补助经费-中央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314.00</w:t>
            </w:r>
          </w:p>
        </w:tc>
        <w:tc>
          <w:tcPr>
            <w:tcW w:w="1327" w:type="dxa"/>
            <w:vAlign w:val="center"/>
          </w:tcPr>
          <w:p>
            <w:pPr>
              <w:pStyle w:val="23"/>
            </w:pPr>
            <w:r>
              <w:t>其中：财政    资金</w:t>
            </w:r>
          </w:p>
        </w:tc>
        <w:tc>
          <w:tcPr>
            <w:tcW w:w="1327" w:type="dxa"/>
            <w:vAlign w:val="center"/>
          </w:tcPr>
          <w:p>
            <w:pPr>
              <w:pStyle w:val="22"/>
            </w:pPr>
            <w:r>
              <w:t>314.00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通过保障场馆正常运转开放，不断提升博物馆服务水平。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1.通过保障场馆正常运转开放，不断提升博物馆服务水平。</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场馆面积</w:t>
            </w:r>
          </w:p>
        </w:tc>
        <w:tc>
          <w:tcPr>
            <w:tcW w:w="2654" w:type="dxa"/>
            <w:vAlign w:val="center"/>
          </w:tcPr>
          <w:p>
            <w:pPr>
              <w:pStyle w:val="22"/>
            </w:pPr>
            <w:r>
              <w:t>场馆面积</w:t>
            </w:r>
          </w:p>
        </w:tc>
        <w:tc>
          <w:tcPr>
            <w:tcW w:w="2654" w:type="dxa"/>
            <w:vAlign w:val="center"/>
          </w:tcPr>
          <w:p>
            <w:pPr>
              <w:pStyle w:val="22"/>
            </w:pPr>
            <w:r>
              <w:t>114628平方米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场馆正常运转率</w:t>
            </w:r>
          </w:p>
        </w:tc>
        <w:tc>
          <w:tcPr>
            <w:tcW w:w="2654" w:type="dxa"/>
            <w:vAlign w:val="center"/>
          </w:tcPr>
          <w:p>
            <w:pPr>
              <w:pStyle w:val="22"/>
            </w:pPr>
            <w:r>
              <w:t>场馆正常运转率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场馆开放时间</w:t>
            </w:r>
          </w:p>
        </w:tc>
        <w:tc>
          <w:tcPr>
            <w:tcW w:w="2654" w:type="dxa"/>
            <w:vAlign w:val="center"/>
          </w:tcPr>
          <w:p>
            <w:pPr>
              <w:pStyle w:val="22"/>
            </w:pPr>
            <w:r>
              <w:t>场馆开放时间</w:t>
            </w:r>
          </w:p>
        </w:tc>
        <w:tc>
          <w:tcPr>
            <w:tcW w:w="2654" w:type="dxa"/>
            <w:vAlign w:val="center"/>
          </w:tcPr>
          <w:p>
            <w:pPr>
              <w:pStyle w:val="22"/>
            </w:pPr>
            <w:r>
              <w:t>2024年1月-12月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取暖费</w:t>
            </w:r>
          </w:p>
        </w:tc>
        <w:tc>
          <w:tcPr>
            <w:tcW w:w="2654" w:type="dxa"/>
            <w:vAlign w:val="center"/>
          </w:tcPr>
          <w:p>
            <w:pPr>
              <w:pStyle w:val="22"/>
            </w:pPr>
            <w:r>
              <w:t>取暖费</w:t>
            </w:r>
          </w:p>
        </w:tc>
        <w:tc>
          <w:tcPr>
            <w:tcW w:w="2654" w:type="dxa"/>
            <w:vAlign w:val="center"/>
          </w:tcPr>
          <w:p>
            <w:pPr>
              <w:pStyle w:val="22"/>
            </w:pPr>
            <w:r>
              <w:t>≤314万元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提升博物馆服务水平</w:t>
            </w:r>
          </w:p>
        </w:tc>
        <w:tc>
          <w:tcPr>
            <w:tcW w:w="2654" w:type="dxa"/>
            <w:vAlign w:val="center"/>
          </w:tcPr>
          <w:p>
            <w:pPr>
              <w:pStyle w:val="22"/>
            </w:pPr>
            <w:r>
              <w:t>提升博物馆服务水平</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760399"/>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.非财政拨款项目支出-“前进 沿着光辉的足迹—毛泽东和天津人民在一起”展览项目绩效目标表</w:t>
      </w:r>
      <w:bookmarkEnd w:id="4"/>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非财政拨款项目支出-“前进 沿着光辉的足迹—毛泽东和天津人民在一起”展览项目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124.80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124.80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 xml:space="preserve">全面展现毛泽东的一生与天津这片热土、与天津人民深厚的历史情缘；充分发挥润园的红色教育功能，利用好红色资源，传承红色基因；通过红色资源、红色展览充分充分开展爱国主义教育。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 xml:space="preserve">1.全面展现毛泽东的一生与天津这片热土、与天津人民深厚的历史情缘；充分发挥润园的红色教育功能，利用好红色资源，传承红色基因；通过红色资源、红色展览充分充分开展爱国主义教育。 </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开展精品展次数</w:t>
            </w:r>
          </w:p>
        </w:tc>
        <w:tc>
          <w:tcPr>
            <w:tcW w:w="2654" w:type="dxa"/>
            <w:vAlign w:val="center"/>
          </w:tcPr>
          <w:p>
            <w:pPr>
              <w:pStyle w:val="22"/>
            </w:pPr>
            <w:r>
              <w:t>开展精品展次数</w:t>
            </w:r>
          </w:p>
        </w:tc>
        <w:tc>
          <w:tcPr>
            <w:tcW w:w="2654"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广泛征集精品文物</w:t>
            </w:r>
          </w:p>
        </w:tc>
        <w:tc>
          <w:tcPr>
            <w:tcW w:w="2654" w:type="dxa"/>
            <w:vAlign w:val="center"/>
          </w:tcPr>
          <w:p>
            <w:pPr>
              <w:pStyle w:val="22"/>
            </w:pPr>
            <w:r>
              <w:t>广泛征集精品文物</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展览举办时限</w:t>
            </w:r>
          </w:p>
        </w:tc>
        <w:tc>
          <w:tcPr>
            <w:tcW w:w="2654" w:type="dxa"/>
            <w:vAlign w:val="center"/>
          </w:tcPr>
          <w:p>
            <w:pPr>
              <w:pStyle w:val="22"/>
            </w:pPr>
            <w:r>
              <w:t>展览举办时限</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展览举办经费</w:t>
            </w:r>
          </w:p>
        </w:tc>
        <w:tc>
          <w:tcPr>
            <w:tcW w:w="2654" w:type="dxa"/>
            <w:vAlign w:val="center"/>
          </w:tcPr>
          <w:p>
            <w:pPr>
              <w:pStyle w:val="22"/>
            </w:pPr>
            <w:r>
              <w:t>展览举办经费</w:t>
            </w:r>
          </w:p>
        </w:tc>
        <w:tc>
          <w:tcPr>
            <w:tcW w:w="2654" w:type="dxa"/>
            <w:vAlign w:val="center"/>
          </w:tcPr>
          <w:p>
            <w:pPr>
              <w:pStyle w:val="22"/>
            </w:pPr>
            <w:r>
              <w:t>≤124.8万元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参观人数</w:t>
            </w:r>
          </w:p>
        </w:tc>
        <w:tc>
          <w:tcPr>
            <w:tcW w:w="2654" w:type="dxa"/>
            <w:vAlign w:val="center"/>
          </w:tcPr>
          <w:p>
            <w:pPr>
              <w:pStyle w:val="22"/>
            </w:pPr>
            <w:r>
              <w:t>参观人数</w:t>
            </w:r>
          </w:p>
        </w:tc>
        <w:tc>
          <w:tcPr>
            <w:tcW w:w="2654" w:type="dxa"/>
            <w:vAlign w:val="center"/>
          </w:tcPr>
          <w:p>
            <w:pPr>
              <w:pStyle w:val="22"/>
            </w:pPr>
            <w:r>
              <w:t>≥20000人次/月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提升润园利用率</w:t>
            </w:r>
          </w:p>
        </w:tc>
        <w:tc>
          <w:tcPr>
            <w:tcW w:w="2654" w:type="dxa"/>
            <w:vAlign w:val="center"/>
          </w:tcPr>
          <w:p>
            <w:pPr>
              <w:pStyle w:val="22"/>
            </w:pPr>
            <w:r>
              <w:t>提升润园利用率</w:t>
            </w:r>
          </w:p>
        </w:tc>
        <w:tc>
          <w:tcPr>
            <w:tcW w:w="2654"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760400"/>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.非财政拨款项目支出-红色基因库建设项目绩效目标表</w:t>
      </w:r>
      <w:bookmarkEnd w:id="5"/>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非财政拨款项目支出-红色基因库建设项目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通过对红色文物的数据采集，充实红色基因文物数据库。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1.通过对红色文物的数据采集，充实红色基因文物数据库。</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博物馆公众号上线播放次数</w:t>
            </w:r>
          </w:p>
        </w:tc>
        <w:tc>
          <w:tcPr>
            <w:tcW w:w="2654" w:type="dxa"/>
            <w:vAlign w:val="center"/>
          </w:tcPr>
          <w:p>
            <w:pPr>
              <w:pStyle w:val="22"/>
            </w:pPr>
            <w:r>
              <w:t>博物馆公众号上线播放次数</w:t>
            </w:r>
          </w:p>
        </w:tc>
        <w:tc>
          <w:tcPr>
            <w:tcW w:w="2654"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视频制作终端播放成功率</w:t>
            </w:r>
          </w:p>
        </w:tc>
        <w:tc>
          <w:tcPr>
            <w:tcW w:w="2654" w:type="dxa"/>
            <w:vAlign w:val="center"/>
          </w:tcPr>
          <w:p>
            <w:pPr>
              <w:pStyle w:val="22"/>
            </w:pPr>
            <w:r>
              <w:t>视频制作终端播放成功率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全息文物播放成功率</w:t>
            </w:r>
          </w:p>
        </w:tc>
        <w:tc>
          <w:tcPr>
            <w:tcW w:w="2654" w:type="dxa"/>
            <w:vAlign w:val="center"/>
          </w:tcPr>
          <w:p>
            <w:pPr>
              <w:pStyle w:val="22"/>
            </w:pPr>
            <w:r>
              <w:t>全息文物播放成功率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大屏幕播放成功率</w:t>
            </w:r>
          </w:p>
        </w:tc>
        <w:tc>
          <w:tcPr>
            <w:tcW w:w="2654" w:type="dxa"/>
            <w:vAlign w:val="center"/>
          </w:tcPr>
          <w:p>
            <w:pPr>
              <w:pStyle w:val="22"/>
            </w:pPr>
            <w:r>
              <w:t>大屏幕播放成功率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完成时限</w:t>
            </w:r>
          </w:p>
        </w:tc>
        <w:tc>
          <w:tcPr>
            <w:tcW w:w="2654" w:type="dxa"/>
            <w:vAlign w:val="center"/>
          </w:tcPr>
          <w:p>
            <w:pPr>
              <w:pStyle w:val="22"/>
            </w:pPr>
            <w:r>
              <w:t>完成时限</w:t>
            </w:r>
          </w:p>
        </w:tc>
        <w:tc>
          <w:tcPr>
            <w:tcW w:w="2654" w:type="dxa"/>
            <w:vAlign w:val="center"/>
          </w:tcPr>
          <w:p>
            <w:pPr>
              <w:pStyle w:val="22"/>
            </w:pPr>
            <w:r>
              <w:t>2024年3月底前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项目完成经费</w:t>
            </w:r>
          </w:p>
        </w:tc>
        <w:tc>
          <w:tcPr>
            <w:tcW w:w="2654" w:type="dxa"/>
            <w:vAlign w:val="center"/>
          </w:tcPr>
          <w:p>
            <w:pPr>
              <w:pStyle w:val="22"/>
            </w:pPr>
            <w:r>
              <w:t>项目完成经费</w:t>
            </w:r>
          </w:p>
        </w:tc>
        <w:tc>
          <w:tcPr>
            <w:tcW w:w="2654"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可持续影响指标</w:t>
            </w:r>
          </w:p>
        </w:tc>
        <w:tc>
          <w:tcPr>
            <w:tcW w:w="1327" w:type="dxa"/>
            <w:vAlign w:val="center"/>
          </w:tcPr>
          <w:p>
            <w:pPr>
              <w:pStyle w:val="22"/>
            </w:pPr>
            <w:r>
              <w:t>提升红色文物数据利用率</w:t>
            </w:r>
          </w:p>
        </w:tc>
        <w:tc>
          <w:tcPr>
            <w:tcW w:w="2654" w:type="dxa"/>
            <w:vAlign w:val="center"/>
          </w:tcPr>
          <w:p>
            <w:pPr>
              <w:pStyle w:val="22"/>
            </w:pPr>
            <w:r>
              <w:t>提升红色文物数据利用率</w:t>
            </w:r>
          </w:p>
        </w:tc>
        <w:tc>
          <w:tcPr>
            <w:tcW w:w="2654"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760401"/>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.非财政拨款项目支出-红色记忆——天津革命文物展绩效目标表</w:t>
      </w:r>
      <w:bookmarkEnd w:id="6"/>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非财政拨款项目支出-红色记忆——天津革命文物展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191.00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191.00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 xml:space="preserve">展示中国共产党领导天津人民走过的波澜壮阔的奋斗历程，以及我市在不同历史时期特别是党的十八大以来取得的光辉业绩和宝贵经验和百年津沽大地涌现出的革命先辈和英雄模范。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 xml:space="preserve">1.展示中国共产党领导天津人民走过的波澜壮阔的奋斗历程，以及我市在不同历史时期特别是党的十八大以来取得的光辉业绩和宝贵经验和百年津沽大地涌现出的革命先辈和英雄模范。 </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开展精品展次数</w:t>
            </w:r>
          </w:p>
        </w:tc>
        <w:tc>
          <w:tcPr>
            <w:tcW w:w="2654" w:type="dxa"/>
            <w:vAlign w:val="center"/>
          </w:tcPr>
          <w:p>
            <w:pPr>
              <w:pStyle w:val="22"/>
            </w:pPr>
            <w:r>
              <w:t>开展精品展次数</w:t>
            </w:r>
          </w:p>
        </w:tc>
        <w:tc>
          <w:tcPr>
            <w:tcW w:w="2654"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广泛征集精品文物</w:t>
            </w:r>
          </w:p>
        </w:tc>
        <w:tc>
          <w:tcPr>
            <w:tcW w:w="2654" w:type="dxa"/>
            <w:vAlign w:val="center"/>
          </w:tcPr>
          <w:p>
            <w:pPr>
              <w:pStyle w:val="22"/>
            </w:pPr>
            <w:r>
              <w:t>广泛征集精品文物</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展览如期进行率</w:t>
            </w:r>
          </w:p>
        </w:tc>
        <w:tc>
          <w:tcPr>
            <w:tcW w:w="2654" w:type="dxa"/>
            <w:vAlign w:val="center"/>
          </w:tcPr>
          <w:p>
            <w:pPr>
              <w:pStyle w:val="22"/>
            </w:pPr>
            <w:r>
              <w:t>展览如期进行率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展览举办经费</w:t>
            </w:r>
          </w:p>
        </w:tc>
        <w:tc>
          <w:tcPr>
            <w:tcW w:w="2654" w:type="dxa"/>
            <w:vAlign w:val="center"/>
          </w:tcPr>
          <w:p>
            <w:pPr>
              <w:pStyle w:val="22"/>
            </w:pPr>
            <w:r>
              <w:t>展览举办经费</w:t>
            </w:r>
          </w:p>
        </w:tc>
        <w:tc>
          <w:tcPr>
            <w:tcW w:w="2654" w:type="dxa"/>
            <w:vAlign w:val="center"/>
          </w:tcPr>
          <w:p>
            <w:pPr>
              <w:pStyle w:val="22"/>
            </w:pPr>
            <w:r>
              <w:t>≤191万元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参观人数</w:t>
            </w:r>
          </w:p>
        </w:tc>
        <w:tc>
          <w:tcPr>
            <w:tcW w:w="2654" w:type="dxa"/>
            <w:vAlign w:val="center"/>
          </w:tcPr>
          <w:p>
            <w:pPr>
              <w:pStyle w:val="22"/>
            </w:pPr>
            <w:r>
              <w:t>参观人数</w:t>
            </w:r>
          </w:p>
        </w:tc>
        <w:tc>
          <w:tcPr>
            <w:tcW w:w="2654" w:type="dxa"/>
            <w:vAlign w:val="center"/>
          </w:tcPr>
          <w:p>
            <w:pPr>
              <w:pStyle w:val="22"/>
            </w:pPr>
            <w:r>
              <w:t>≥20000人次/月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提升展厅利用率</w:t>
            </w:r>
          </w:p>
        </w:tc>
        <w:tc>
          <w:tcPr>
            <w:tcW w:w="2654" w:type="dxa"/>
            <w:vAlign w:val="center"/>
          </w:tcPr>
          <w:p>
            <w:pPr>
              <w:pStyle w:val="22"/>
            </w:pPr>
            <w:r>
              <w:t>提升展厅利用率</w:t>
            </w:r>
          </w:p>
        </w:tc>
        <w:tc>
          <w:tcPr>
            <w:tcW w:w="2654"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760402"/>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.非财政拨款项目支出-人才培养经费绩效目标表</w:t>
      </w:r>
      <w:bookmarkEnd w:id="7"/>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非财政拨款项目支出-人才培养经费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63.90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63.90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前往文博工作先进地区学习调研；参加高水平文博培训；购买书籍，提升业务能力，为策划完成《二十四节气文物展》等展览，及文物、历史、博物馆学研究提供参考。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1.前往文博工作先进地区学习调研；参加高水平文博培训；购买书籍，提升业务能力，为策划完成《二十四节气文物展》等展览，及文物、历史、博物馆学研究提供参考。</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完成展览大纲</w:t>
            </w:r>
          </w:p>
        </w:tc>
        <w:tc>
          <w:tcPr>
            <w:tcW w:w="2654" w:type="dxa"/>
            <w:vAlign w:val="center"/>
          </w:tcPr>
          <w:p>
            <w:pPr>
              <w:pStyle w:val="22"/>
            </w:pPr>
            <w:r>
              <w:t>完成展览大纲</w:t>
            </w:r>
          </w:p>
        </w:tc>
        <w:tc>
          <w:tcPr>
            <w:tcW w:w="2654"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完成结项报告</w:t>
            </w:r>
          </w:p>
        </w:tc>
        <w:tc>
          <w:tcPr>
            <w:tcW w:w="2654" w:type="dxa"/>
            <w:vAlign w:val="center"/>
          </w:tcPr>
          <w:p>
            <w:pPr>
              <w:pStyle w:val="22"/>
            </w:pPr>
            <w:r>
              <w:t>完成结项报告</w:t>
            </w:r>
          </w:p>
        </w:tc>
        <w:tc>
          <w:tcPr>
            <w:tcW w:w="2654"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完成线上视频个数</w:t>
            </w:r>
          </w:p>
        </w:tc>
        <w:tc>
          <w:tcPr>
            <w:tcW w:w="2654" w:type="dxa"/>
            <w:vAlign w:val="center"/>
          </w:tcPr>
          <w:p>
            <w:pPr>
              <w:pStyle w:val="22"/>
            </w:pPr>
            <w:r>
              <w:t>完成线上视频个数</w:t>
            </w:r>
          </w:p>
        </w:tc>
        <w:tc>
          <w:tcPr>
            <w:tcW w:w="2654"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出版图书数量</w:t>
            </w:r>
          </w:p>
        </w:tc>
        <w:tc>
          <w:tcPr>
            <w:tcW w:w="2654" w:type="dxa"/>
            <w:vAlign w:val="center"/>
          </w:tcPr>
          <w:p>
            <w:pPr>
              <w:pStyle w:val="22"/>
            </w:pPr>
            <w:r>
              <w:t>出版图书数量</w:t>
            </w:r>
          </w:p>
        </w:tc>
        <w:tc>
          <w:tcPr>
            <w:tcW w:w="2654" w:type="dxa"/>
            <w:vAlign w:val="center"/>
          </w:tcPr>
          <w:p>
            <w:pPr>
              <w:pStyle w:val="22"/>
            </w:pPr>
            <w:r>
              <w:t>≥2本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撰写论文数量</w:t>
            </w:r>
          </w:p>
        </w:tc>
        <w:tc>
          <w:tcPr>
            <w:tcW w:w="2654" w:type="dxa"/>
            <w:vAlign w:val="center"/>
          </w:tcPr>
          <w:p>
            <w:pPr>
              <w:pStyle w:val="22"/>
            </w:pPr>
            <w:r>
              <w:t>撰写论文数量</w:t>
            </w:r>
          </w:p>
        </w:tc>
        <w:tc>
          <w:tcPr>
            <w:tcW w:w="2654" w:type="dxa"/>
            <w:vAlign w:val="center"/>
          </w:tcPr>
          <w:p>
            <w:pPr>
              <w:pStyle w:val="22"/>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展览大纲完成率</w:t>
            </w:r>
          </w:p>
        </w:tc>
        <w:tc>
          <w:tcPr>
            <w:tcW w:w="2654" w:type="dxa"/>
            <w:vAlign w:val="center"/>
          </w:tcPr>
          <w:p>
            <w:pPr>
              <w:pStyle w:val="22"/>
            </w:pPr>
            <w:r>
              <w:t>展览大纲完成率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结项报告完成率</w:t>
            </w:r>
          </w:p>
        </w:tc>
        <w:tc>
          <w:tcPr>
            <w:tcW w:w="2654" w:type="dxa"/>
            <w:vAlign w:val="center"/>
          </w:tcPr>
          <w:p>
            <w:pPr>
              <w:pStyle w:val="22"/>
            </w:pPr>
            <w:r>
              <w:t>结项报告完成率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拍摄视频完成率</w:t>
            </w:r>
          </w:p>
        </w:tc>
        <w:tc>
          <w:tcPr>
            <w:tcW w:w="2654" w:type="dxa"/>
            <w:vAlign w:val="center"/>
          </w:tcPr>
          <w:p>
            <w:pPr>
              <w:pStyle w:val="22"/>
            </w:pPr>
            <w:r>
              <w:t>拍摄视频完成率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撰写论文完成率</w:t>
            </w:r>
          </w:p>
        </w:tc>
        <w:tc>
          <w:tcPr>
            <w:tcW w:w="2654" w:type="dxa"/>
            <w:vAlign w:val="center"/>
          </w:tcPr>
          <w:p>
            <w:pPr>
              <w:pStyle w:val="22"/>
            </w:pPr>
            <w:r>
              <w:t>撰写论文完成率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大纲撰写完成时间</w:t>
            </w:r>
          </w:p>
        </w:tc>
        <w:tc>
          <w:tcPr>
            <w:tcW w:w="2654" w:type="dxa"/>
            <w:vAlign w:val="center"/>
          </w:tcPr>
          <w:p>
            <w:pPr>
              <w:pStyle w:val="22"/>
            </w:pPr>
            <w:r>
              <w:t>大纲撰写完成时间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结项报告完成时间</w:t>
            </w:r>
          </w:p>
        </w:tc>
        <w:tc>
          <w:tcPr>
            <w:tcW w:w="2654" w:type="dxa"/>
            <w:vAlign w:val="center"/>
          </w:tcPr>
          <w:p>
            <w:pPr>
              <w:pStyle w:val="22"/>
            </w:pPr>
            <w:r>
              <w:t>结项报告完成时间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拍摄视频完成时间</w:t>
            </w:r>
          </w:p>
        </w:tc>
        <w:tc>
          <w:tcPr>
            <w:tcW w:w="2654" w:type="dxa"/>
            <w:vAlign w:val="center"/>
          </w:tcPr>
          <w:p>
            <w:pPr>
              <w:pStyle w:val="22"/>
            </w:pPr>
            <w:r>
              <w:t>拍摄视频完成时间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报告撰写完成时间</w:t>
            </w:r>
          </w:p>
        </w:tc>
        <w:tc>
          <w:tcPr>
            <w:tcW w:w="2654" w:type="dxa"/>
            <w:vAlign w:val="center"/>
          </w:tcPr>
          <w:p>
            <w:pPr>
              <w:pStyle w:val="22"/>
            </w:pPr>
            <w:r>
              <w:t>报告撰写完成时间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项目支出经费</w:t>
            </w:r>
          </w:p>
        </w:tc>
        <w:tc>
          <w:tcPr>
            <w:tcW w:w="2654" w:type="dxa"/>
            <w:vAlign w:val="center"/>
          </w:tcPr>
          <w:p>
            <w:pPr>
              <w:pStyle w:val="22"/>
            </w:pPr>
            <w:r>
              <w:t>项目支出经费</w:t>
            </w:r>
          </w:p>
        </w:tc>
        <w:tc>
          <w:tcPr>
            <w:tcW w:w="2654" w:type="dxa"/>
            <w:vAlign w:val="center"/>
          </w:tcPr>
          <w:p>
            <w:pPr>
              <w:pStyle w:val="22"/>
            </w:pPr>
            <w:r>
              <w:t>≤63.9万元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培养人才能力</w:t>
            </w:r>
          </w:p>
        </w:tc>
        <w:tc>
          <w:tcPr>
            <w:tcW w:w="2654" w:type="dxa"/>
            <w:vAlign w:val="center"/>
          </w:tcPr>
          <w:p>
            <w:pPr>
              <w:pStyle w:val="22"/>
            </w:pPr>
            <w:r>
              <w:t>培养人才能力</w:t>
            </w:r>
          </w:p>
        </w:tc>
        <w:tc>
          <w:tcPr>
            <w:tcW w:w="2654" w:type="dxa"/>
            <w:vAlign w:val="center"/>
          </w:tcPr>
          <w:p>
            <w:pPr>
              <w:pStyle w:val="22"/>
            </w:pPr>
            <w:r>
              <w:t>进一步培养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促进文物线上活化利用</w:t>
            </w:r>
          </w:p>
        </w:tc>
        <w:tc>
          <w:tcPr>
            <w:tcW w:w="2654" w:type="dxa"/>
            <w:vAlign w:val="center"/>
          </w:tcPr>
          <w:p>
            <w:pPr>
              <w:pStyle w:val="22"/>
            </w:pPr>
            <w:r>
              <w:t>促进文物线上活化利用</w:t>
            </w:r>
          </w:p>
        </w:tc>
        <w:tc>
          <w:tcPr>
            <w:tcW w:w="2654"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促进展览举办</w:t>
            </w:r>
          </w:p>
        </w:tc>
        <w:tc>
          <w:tcPr>
            <w:tcW w:w="2654" w:type="dxa"/>
            <w:vAlign w:val="center"/>
          </w:tcPr>
          <w:p>
            <w:pPr>
              <w:pStyle w:val="22"/>
            </w:pPr>
            <w:r>
              <w:t>促进展览举办</w:t>
            </w:r>
          </w:p>
        </w:tc>
        <w:tc>
          <w:tcPr>
            <w:tcW w:w="2654"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社会公众满意度</w:t>
            </w:r>
          </w:p>
        </w:tc>
        <w:tc>
          <w:tcPr>
            <w:tcW w:w="2654" w:type="dxa"/>
            <w:vAlign w:val="center"/>
          </w:tcPr>
          <w:p>
            <w:pPr>
              <w:pStyle w:val="22"/>
            </w:pPr>
            <w:r>
              <w:t>社会公众满意度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760403"/>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.非财政拨款项目支出-天津博物馆一流展览引进项目交流绩效目标表</w:t>
      </w:r>
      <w:bookmarkEnd w:id="8"/>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非财政拨款项目支出-天津博物馆一流展览引进项目交流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170.00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为贯彻落实习近平总书记对宣传思想文化工作的重要指示和“让文物活起来”相关批示，落实市领导关于天津博物馆要积极引进一流展览项目的指示，促进文明交流互鉴，天津博物馆拟在国家文物局、中国文物交流中心协助下于2024年引进国内外一流展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为贯彻落实习近平总书记对宣传思想文化工作的重要指示和“让文物活起来”相关批示，落实市领导关于天津博物馆要积极引进一流展览项目的指示，促进文明交流互鉴，天津博物馆拟在国家文物局、中国文物交流中心协助下于2024年引进国内外一流展览。</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实施展览项目</w:t>
            </w:r>
          </w:p>
        </w:tc>
        <w:tc>
          <w:tcPr>
            <w:tcW w:w="2654" w:type="dxa"/>
            <w:vAlign w:val="center"/>
          </w:tcPr>
          <w:p>
            <w:pPr>
              <w:pStyle w:val="22"/>
            </w:pPr>
            <w:r>
              <w:t>实施展览项目</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展览完成时间</w:t>
            </w:r>
          </w:p>
        </w:tc>
        <w:tc>
          <w:tcPr>
            <w:tcW w:w="2654" w:type="dxa"/>
            <w:vAlign w:val="center"/>
          </w:tcPr>
          <w:p>
            <w:pPr>
              <w:pStyle w:val="22"/>
            </w:pPr>
            <w:r>
              <w:t>展览完成时间</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引进展览经费</w:t>
            </w:r>
          </w:p>
        </w:tc>
        <w:tc>
          <w:tcPr>
            <w:tcW w:w="2654" w:type="dxa"/>
            <w:vAlign w:val="center"/>
          </w:tcPr>
          <w:p>
            <w:pPr>
              <w:pStyle w:val="22"/>
            </w:pPr>
            <w:r>
              <w:t>引进展览经费</w:t>
            </w:r>
          </w:p>
        </w:tc>
        <w:tc>
          <w:tcPr>
            <w:tcW w:w="2654" w:type="dxa"/>
            <w:vAlign w:val="center"/>
          </w:tcPr>
          <w:p>
            <w:pPr>
              <w:pStyle w:val="22"/>
            </w:pPr>
            <w:r>
              <w:t>≤170万元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社会认可度</w:t>
            </w:r>
          </w:p>
        </w:tc>
        <w:tc>
          <w:tcPr>
            <w:tcW w:w="2654" w:type="dxa"/>
            <w:vAlign w:val="center"/>
          </w:tcPr>
          <w:p>
            <w:pPr>
              <w:pStyle w:val="22"/>
            </w:pPr>
            <w:r>
              <w:t>社会认可度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提升天津博物馆业内影响力和国内外知名度</w:t>
            </w:r>
          </w:p>
        </w:tc>
        <w:tc>
          <w:tcPr>
            <w:tcW w:w="2654" w:type="dxa"/>
            <w:vAlign w:val="center"/>
          </w:tcPr>
          <w:p>
            <w:pPr>
              <w:pStyle w:val="22"/>
            </w:pPr>
            <w:r>
              <w:t>提升天津博物馆业内影响力和国内外知名度</w:t>
            </w:r>
          </w:p>
        </w:tc>
        <w:tc>
          <w:tcPr>
            <w:tcW w:w="2654"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观展人员满意度</w:t>
            </w:r>
          </w:p>
        </w:tc>
        <w:tc>
          <w:tcPr>
            <w:tcW w:w="2654" w:type="dxa"/>
            <w:vAlign w:val="center"/>
          </w:tcPr>
          <w:p>
            <w:pPr>
              <w:pStyle w:val="22"/>
            </w:pPr>
            <w:r>
              <w:t>观展人员满意度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760404"/>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.非财政拨款项目支出-天津博物馆与香港中文大学文物馆展览交流项目绩效目标表</w:t>
      </w:r>
      <w:bookmarkEnd w:id="9"/>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非财政拨款项目支出-天津博物馆与香港中文大学文物馆展览交流项目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4.30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4.30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为促进内地与香港的文物交流，进一步践行“文物活起来”，天津博物馆拟于2024年与香港中文大学文物馆开展展览交流项目，其中包括：2024年1月至4月引进“港中大文物馆画珐瑯特展”来津展出（与湖北省博物馆、上海世博会博物馆联合引进），2025年输出“天津博物馆藏中国古代玉器展”赴港展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为促进内地与香港的文物交流，进一步践行“文物活起来”，天津博物馆拟于2024年与香港中文大学文物馆开展展览交流项目，其中包括：2024年1月至4月引进“港中大文物馆画珐瑯特展”来津展出（与湖北省博物馆、上海世博会博物馆联合引进），2025年输出“天津博物馆藏中国古代玉器展”赴港展出。</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出访团组个数</w:t>
            </w:r>
          </w:p>
        </w:tc>
        <w:tc>
          <w:tcPr>
            <w:tcW w:w="2654" w:type="dxa"/>
            <w:vAlign w:val="center"/>
          </w:tcPr>
          <w:p>
            <w:pPr>
              <w:pStyle w:val="22"/>
            </w:pPr>
            <w:r>
              <w:t>出访团组个数</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实施展览项目</w:t>
            </w:r>
          </w:p>
        </w:tc>
        <w:tc>
          <w:tcPr>
            <w:tcW w:w="2654" w:type="dxa"/>
            <w:vAlign w:val="center"/>
          </w:tcPr>
          <w:p>
            <w:pPr>
              <w:pStyle w:val="22"/>
            </w:pPr>
            <w:r>
              <w:t>实施展览项目</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完成期限</w:t>
            </w:r>
          </w:p>
        </w:tc>
        <w:tc>
          <w:tcPr>
            <w:tcW w:w="2654" w:type="dxa"/>
            <w:vAlign w:val="center"/>
          </w:tcPr>
          <w:p>
            <w:pPr>
              <w:pStyle w:val="22"/>
            </w:pPr>
            <w:r>
              <w:t>完成期限</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人员差旅经费</w:t>
            </w:r>
          </w:p>
        </w:tc>
        <w:tc>
          <w:tcPr>
            <w:tcW w:w="2654" w:type="dxa"/>
            <w:vAlign w:val="center"/>
          </w:tcPr>
          <w:p>
            <w:pPr>
              <w:pStyle w:val="22"/>
            </w:pPr>
            <w:r>
              <w:t>人员差旅经费</w:t>
            </w:r>
          </w:p>
        </w:tc>
        <w:tc>
          <w:tcPr>
            <w:tcW w:w="2654" w:type="dxa"/>
            <w:vAlign w:val="center"/>
          </w:tcPr>
          <w:p>
            <w:pPr>
              <w:pStyle w:val="22"/>
            </w:pPr>
            <w:r>
              <w:t>≤4.3万元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国际交流合作参与方认可度</w:t>
            </w:r>
          </w:p>
        </w:tc>
        <w:tc>
          <w:tcPr>
            <w:tcW w:w="2654" w:type="dxa"/>
            <w:vAlign w:val="center"/>
          </w:tcPr>
          <w:p>
            <w:pPr>
              <w:pStyle w:val="22"/>
            </w:pPr>
            <w:r>
              <w:t>国际交流合作参与方认可度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加强天津与香港两地居民文化自信，密切两地业务交往</w:t>
            </w:r>
          </w:p>
        </w:tc>
        <w:tc>
          <w:tcPr>
            <w:tcW w:w="2654" w:type="dxa"/>
            <w:vAlign w:val="center"/>
          </w:tcPr>
          <w:p>
            <w:pPr>
              <w:pStyle w:val="22"/>
            </w:pPr>
            <w:r>
              <w:t>加强天津与香港两地居民文化自信，密切两地业务交往</w:t>
            </w:r>
          </w:p>
        </w:tc>
        <w:tc>
          <w:tcPr>
            <w:tcW w:w="2654" w:type="dxa"/>
            <w:vAlign w:val="center"/>
          </w:tcPr>
          <w:p>
            <w:pPr>
              <w:pStyle w:val="22"/>
            </w:pPr>
            <w:r>
              <w:t>进一步加强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传播中华民族传统文化</w:t>
            </w:r>
          </w:p>
        </w:tc>
        <w:tc>
          <w:tcPr>
            <w:tcW w:w="2654" w:type="dxa"/>
            <w:vAlign w:val="center"/>
          </w:tcPr>
          <w:p>
            <w:pPr>
              <w:pStyle w:val="22"/>
            </w:pPr>
            <w:r>
              <w:t>传播中华民族传统文化</w:t>
            </w:r>
          </w:p>
        </w:tc>
        <w:tc>
          <w:tcPr>
            <w:tcW w:w="2654" w:type="dxa"/>
            <w:vAlign w:val="center"/>
          </w:tcPr>
          <w:p>
            <w:pPr>
              <w:pStyle w:val="22"/>
            </w:pPr>
            <w:r>
              <w:t>进一步传播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受益人与满意度</w:t>
            </w:r>
          </w:p>
        </w:tc>
        <w:tc>
          <w:tcPr>
            <w:tcW w:w="2654" w:type="dxa"/>
            <w:vAlign w:val="center"/>
          </w:tcPr>
          <w:p>
            <w:pPr>
              <w:pStyle w:val="22"/>
            </w:pPr>
            <w:r>
              <w:t>受益人与满意度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760405"/>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.非财政拨款项目支出-天津革命历史类主题展绩效目标表</w:t>
      </w:r>
      <w:bookmarkEnd w:id="10"/>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非财政拨款项目支出-天津革命历史类主题展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经费用于天津革命历史文物展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 xml:space="preserve">1.利用馆藏优势革命文物资源，打造优秀爱国主义教育平台，充分发挥革命历史文物的文化价值，利用好红色资源，传承红色基因。 </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开展精品展次数</w:t>
            </w:r>
          </w:p>
        </w:tc>
        <w:tc>
          <w:tcPr>
            <w:tcW w:w="2654" w:type="dxa"/>
            <w:vAlign w:val="center"/>
          </w:tcPr>
          <w:p>
            <w:pPr>
              <w:pStyle w:val="22"/>
            </w:pPr>
            <w:r>
              <w:t>开展精品展次数</w:t>
            </w:r>
          </w:p>
        </w:tc>
        <w:tc>
          <w:tcPr>
            <w:tcW w:w="2654"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广泛征集精品文物</w:t>
            </w:r>
          </w:p>
        </w:tc>
        <w:tc>
          <w:tcPr>
            <w:tcW w:w="2654" w:type="dxa"/>
            <w:vAlign w:val="center"/>
          </w:tcPr>
          <w:p>
            <w:pPr>
              <w:pStyle w:val="22"/>
            </w:pPr>
            <w:r>
              <w:t>广泛征集精品文物</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展览如期进行率</w:t>
            </w:r>
          </w:p>
        </w:tc>
        <w:tc>
          <w:tcPr>
            <w:tcW w:w="2654" w:type="dxa"/>
            <w:vAlign w:val="center"/>
          </w:tcPr>
          <w:p>
            <w:pPr>
              <w:pStyle w:val="22"/>
            </w:pPr>
            <w:r>
              <w:t>展览如期进行率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展览举办经费</w:t>
            </w:r>
          </w:p>
        </w:tc>
        <w:tc>
          <w:tcPr>
            <w:tcW w:w="2654" w:type="dxa"/>
            <w:vAlign w:val="center"/>
          </w:tcPr>
          <w:p>
            <w:pPr>
              <w:pStyle w:val="22"/>
            </w:pPr>
            <w:r>
              <w:t>展览举办经费</w:t>
            </w:r>
          </w:p>
        </w:tc>
        <w:tc>
          <w:tcPr>
            <w:tcW w:w="2654"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参观人数</w:t>
            </w:r>
          </w:p>
        </w:tc>
        <w:tc>
          <w:tcPr>
            <w:tcW w:w="2654" w:type="dxa"/>
            <w:vAlign w:val="center"/>
          </w:tcPr>
          <w:p>
            <w:pPr>
              <w:pStyle w:val="22"/>
            </w:pPr>
            <w:r>
              <w:t>参观人数</w:t>
            </w:r>
          </w:p>
        </w:tc>
        <w:tc>
          <w:tcPr>
            <w:tcW w:w="2654" w:type="dxa"/>
            <w:vAlign w:val="center"/>
          </w:tcPr>
          <w:p>
            <w:pPr>
              <w:pStyle w:val="22"/>
            </w:pPr>
            <w:r>
              <w:t>≥40000人次/月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提升博物馆利用率</w:t>
            </w:r>
          </w:p>
        </w:tc>
        <w:tc>
          <w:tcPr>
            <w:tcW w:w="2654" w:type="dxa"/>
            <w:vAlign w:val="center"/>
          </w:tcPr>
          <w:p>
            <w:pPr>
              <w:pStyle w:val="22"/>
            </w:pPr>
            <w:r>
              <w:t>提升博物馆利用率</w:t>
            </w:r>
          </w:p>
        </w:tc>
        <w:tc>
          <w:tcPr>
            <w:tcW w:w="2654"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760406"/>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.非财政拨款项目支出-职业教育创优赋能建设项目-传统文化专业群绩效目标表</w:t>
      </w:r>
      <w:bookmarkEnd w:id="11"/>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非财政拨款项目支出-职业教育创优赋能建设项目-传统文化专业群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2.60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通过制定以天津博物馆为实习、实训及就业基地的运行方案，为实习、实训学生提供专门的、有丰富实践经验的实习、实训指导教师，培养更多高素质、高技能的应用型人才。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1.通过制定以天津博物馆为实习、实训及就业基地的运行方案，为实习、实训学生提供专门的、有丰富实践经验的实习、实训指导教师，培养更多高素质、高技能的应用型人才。</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培养学生人数</w:t>
            </w:r>
          </w:p>
        </w:tc>
        <w:tc>
          <w:tcPr>
            <w:tcW w:w="2654" w:type="dxa"/>
            <w:vAlign w:val="center"/>
          </w:tcPr>
          <w:p>
            <w:pPr>
              <w:pStyle w:val="22"/>
            </w:pPr>
            <w:r>
              <w:t>培养学生人数</w:t>
            </w:r>
          </w:p>
        </w:tc>
        <w:tc>
          <w:tcPr>
            <w:tcW w:w="2654"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学生修复技能提升率</w:t>
            </w:r>
          </w:p>
        </w:tc>
        <w:tc>
          <w:tcPr>
            <w:tcW w:w="2654" w:type="dxa"/>
            <w:vAlign w:val="center"/>
          </w:tcPr>
          <w:p>
            <w:pPr>
              <w:pStyle w:val="22"/>
            </w:pPr>
            <w:r>
              <w:t>学生修复技能提升率</w:t>
            </w:r>
          </w:p>
        </w:tc>
        <w:tc>
          <w:tcPr>
            <w:tcW w:w="2654"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实习完成时间</w:t>
            </w:r>
          </w:p>
        </w:tc>
        <w:tc>
          <w:tcPr>
            <w:tcW w:w="2654" w:type="dxa"/>
            <w:vAlign w:val="center"/>
          </w:tcPr>
          <w:p>
            <w:pPr>
              <w:pStyle w:val="22"/>
            </w:pPr>
            <w:r>
              <w:t>实习完成时间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馆校合作费用</w:t>
            </w:r>
          </w:p>
        </w:tc>
        <w:tc>
          <w:tcPr>
            <w:tcW w:w="2654" w:type="dxa"/>
            <w:vAlign w:val="center"/>
          </w:tcPr>
          <w:p>
            <w:pPr>
              <w:pStyle w:val="22"/>
            </w:pPr>
            <w:r>
              <w:t>馆校合作费用</w:t>
            </w:r>
          </w:p>
        </w:tc>
        <w:tc>
          <w:tcPr>
            <w:tcW w:w="2654" w:type="dxa"/>
            <w:vAlign w:val="center"/>
          </w:tcPr>
          <w:p>
            <w:pPr>
              <w:pStyle w:val="22"/>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提高学生专业能力</w:t>
            </w:r>
          </w:p>
        </w:tc>
        <w:tc>
          <w:tcPr>
            <w:tcW w:w="2654" w:type="dxa"/>
            <w:vAlign w:val="center"/>
          </w:tcPr>
          <w:p>
            <w:pPr>
              <w:pStyle w:val="22"/>
            </w:pPr>
            <w:r>
              <w:t>提高学生专业能力</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师生满意度</w:t>
            </w:r>
          </w:p>
        </w:tc>
        <w:tc>
          <w:tcPr>
            <w:tcW w:w="2654" w:type="dxa"/>
            <w:vAlign w:val="center"/>
          </w:tcPr>
          <w:p>
            <w:pPr>
              <w:pStyle w:val="22"/>
            </w:pPr>
            <w:r>
              <w:t>师生满意度</w:t>
            </w:r>
          </w:p>
        </w:tc>
        <w:tc>
          <w:tcPr>
            <w:tcW w:w="2654"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760407"/>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.非财政拨款项目支出-中法建交60周年“唐代文物主题展览”项目绩效目标表</w:t>
      </w:r>
      <w:bookmarkEnd w:id="12"/>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非财政拨款项目支出-中法建交60周年“唐代文物主题展览”项目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30.70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30.70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在2024年中法建交60周年之际，天津博物馆协助国家文物局、中国文物交流中心在法国国立吉美亚洲艺术博物馆举办唐代文物主题展览，配合两国建交相关庆典活动。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1.在2024年中法建交60周年之际，天津博物馆协助国家文物局、中国文物交流中心在法国国立吉美亚洲艺术博物馆举办唐代文物主题展览，配合两国建交相关庆典活动。</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出访团组个数</w:t>
            </w:r>
          </w:p>
        </w:tc>
        <w:tc>
          <w:tcPr>
            <w:tcW w:w="2654" w:type="dxa"/>
            <w:vAlign w:val="center"/>
          </w:tcPr>
          <w:p>
            <w:pPr>
              <w:pStyle w:val="22"/>
            </w:pPr>
            <w:r>
              <w:t>出访团组个数</w:t>
            </w:r>
          </w:p>
        </w:tc>
        <w:tc>
          <w:tcPr>
            <w:tcW w:w="2654"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实施展览项目</w:t>
            </w:r>
          </w:p>
        </w:tc>
        <w:tc>
          <w:tcPr>
            <w:tcW w:w="2654" w:type="dxa"/>
            <w:vAlign w:val="center"/>
          </w:tcPr>
          <w:p>
            <w:pPr>
              <w:pStyle w:val="22"/>
            </w:pPr>
            <w:r>
              <w:t>实施展览项目</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完成期限</w:t>
            </w:r>
          </w:p>
        </w:tc>
        <w:tc>
          <w:tcPr>
            <w:tcW w:w="2654" w:type="dxa"/>
            <w:vAlign w:val="center"/>
          </w:tcPr>
          <w:p>
            <w:pPr>
              <w:pStyle w:val="22"/>
            </w:pPr>
            <w:r>
              <w:t>完成期限</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经费预算</w:t>
            </w:r>
          </w:p>
        </w:tc>
        <w:tc>
          <w:tcPr>
            <w:tcW w:w="2654" w:type="dxa"/>
            <w:vAlign w:val="center"/>
          </w:tcPr>
          <w:p>
            <w:pPr>
              <w:pStyle w:val="22"/>
            </w:pPr>
            <w:r>
              <w:t>经费预算</w:t>
            </w:r>
          </w:p>
        </w:tc>
        <w:tc>
          <w:tcPr>
            <w:tcW w:w="2654" w:type="dxa"/>
            <w:vAlign w:val="center"/>
          </w:tcPr>
          <w:p>
            <w:pPr>
              <w:pStyle w:val="22"/>
            </w:pPr>
            <w:r>
              <w:t>≤30.7万元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国际交流合作参与方认可度</w:t>
            </w:r>
          </w:p>
        </w:tc>
        <w:tc>
          <w:tcPr>
            <w:tcW w:w="2654" w:type="dxa"/>
            <w:vAlign w:val="center"/>
          </w:tcPr>
          <w:p>
            <w:pPr>
              <w:pStyle w:val="22"/>
            </w:pPr>
            <w:r>
              <w:t>国际交流合作参与方认可度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传播推广中华文化</w:t>
            </w:r>
          </w:p>
        </w:tc>
        <w:tc>
          <w:tcPr>
            <w:tcW w:w="2654" w:type="dxa"/>
            <w:vAlign w:val="center"/>
          </w:tcPr>
          <w:p>
            <w:pPr>
              <w:pStyle w:val="22"/>
            </w:pPr>
            <w:r>
              <w:t>传播推广中华文化</w:t>
            </w:r>
          </w:p>
        </w:tc>
        <w:tc>
          <w:tcPr>
            <w:tcW w:w="2654" w:type="dxa"/>
            <w:vAlign w:val="center"/>
          </w:tcPr>
          <w:p>
            <w:pPr>
              <w:pStyle w:val="22"/>
            </w:pPr>
            <w:r>
              <w:t>进一步传播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观展人员满意度</w:t>
            </w:r>
          </w:p>
        </w:tc>
        <w:tc>
          <w:tcPr>
            <w:tcW w:w="2654" w:type="dxa"/>
            <w:vAlign w:val="center"/>
          </w:tcPr>
          <w:p>
            <w:pPr>
              <w:pStyle w:val="22"/>
            </w:pPr>
            <w:r>
              <w:t>观展人员满意度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760408"/>
      <w:r>
        <w:rPr>
          <w:rFonts w:hint="eastAsia" w:ascii="方正仿宋_GBK" w:hAnsi="方正仿宋_GBK" w:eastAsia="方正仿宋_GBK" w:cs="方正仿宋_GBK"/>
          <w:sz w:val="28"/>
          <w:lang w:val="en-US" w:eastAsia="zh-CN"/>
        </w:rPr>
        <w:t>14</w:t>
      </w:r>
      <w:r>
        <w:rPr>
          <w:rFonts w:ascii="方正仿宋_GBK" w:hAnsi="方正仿宋_GBK" w:eastAsia="方正仿宋_GBK" w:cs="方正仿宋_GBK"/>
          <w:sz w:val="28"/>
        </w:rPr>
        <w:t>.天津博物馆（李叔同故居纪念馆）提升改造项目剩余款项绩效目标表</w:t>
      </w:r>
      <w:bookmarkEnd w:id="13"/>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天津博物馆（李叔同故居纪念馆）提升改造项目剩余款项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90.00</w:t>
            </w:r>
          </w:p>
        </w:tc>
        <w:tc>
          <w:tcPr>
            <w:tcW w:w="1327" w:type="dxa"/>
            <w:vAlign w:val="center"/>
          </w:tcPr>
          <w:p>
            <w:pPr>
              <w:pStyle w:val="23"/>
            </w:pPr>
            <w:r>
              <w:t>其中：财政    资金</w:t>
            </w:r>
          </w:p>
        </w:tc>
        <w:tc>
          <w:tcPr>
            <w:tcW w:w="1327" w:type="dxa"/>
            <w:vAlign w:val="center"/>
          </w:tcPr>
          <w:p>
            <w:pPr>
              <w:pStyle w:val="22"/>
            </w:pPr>
            <w:r>
              <w:t>90.00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对李叔同(故居)纪念馆基本陈列布展、复原场景等全面提升李叔同（故居）纪念馆展陈展示水平，将其打造成天津文化新名片。为“讲好中国故事”展陈环境基础，打造符合新时代人民群众精神文化需求的场馆，成为海河畔文旅融合的典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对李叔同(故居)纪念馆基本陈列布展、复原场景等全面提升李叔同（故居）纪念馆展陈展示水平，将其打造成天津文化新名片。为“讲好中国故事”展陈环境基础，打造符合新时代人民群众精神文化需求的场馆，成为海河畔文旅融合的典范。</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提升改造面积</w:t>
            </w:r>
          </w:p>
        </w:tc>
        <w:tc>
          <w:tcPr>
            <w:tcW w:w="2654" w:type="dxa"/>
            <w:vAlign w:val="center"/>
          </w:tcPr>
          <w:p>
            <w:pPr>
              <w:pStyle w:val="22"/>
            </w:pPr>
            <w:r>
              <w:t>提升改造面积</w:t>
            </w:r>
          </w:p>
        </w:tc>
        <w:tc>
          <w:tcPr>
            <w:tcW w:w="2654" w:type="dxa"/>
            <w:vAlign w:val="center"/>
          </w:tcPr>
          <w:p>
            <w:pPr>
              <w:pStyle w:val="22"/>
            </w:pPr>
            <w:r>
              <w:t>270平方米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西门（海河东路）提升工程面积</w:t>
            </w:r>
          </w:p>
        </w:tc>
        <w:tc>
          <w:tcPr>
            <w:tcW w:w="2654" w:type="dxa"/>
            <w:vAlign w:val="center"/>
          </w:tcPr>
          <w:p>
            <w:pPr>
              <w:pStyle w:val="22"/>
            </w:pPr>
            <w:r>
              <w:t>西门（海河东路）提升工程面积</w:t>
            </w:r>
          </w:p>
        </w:tc>
        <w:tc>
          <w:tcPr>
            <w:tcW w:w="2654" w:type="dxa"/>
            <w:vAlign w:val="center"/>
          </w:tcPr>
          <w:p>
            <w:pPr>
              <w:pStyle w:val="22"/>
            </w:pPr>
            <w:r>
              <w:t>480平方米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工程验收合格率</w:t>
            </w:r>
          </w:p>
        </w:tc>
        <w:tc>
          <w:tcPr>
            <w:tcW w:w="2654" w:type="dxa"/>
            <w:vAlign w:val="center"/>
          </w:tcPr>
          <w:p>
            <w:pPr>
              <w:pStyle w:val="22"/>
            </w:pPr>
            <w:r>
              <w:t>工程验收合格率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设施正常使用率</w:t>
            </w:r>
          </w:p>
        </w:tc>
        <w:tc>
          <w:tcPr>
            <w:tcW w:w="2654" w:type="dxa"/>
            <w:vAlign w:val="center"/>
          </w:tcPr>
          <w:p>
            <w:pPr>
              <w:pStyle w:val="22"/>
            </w:pPr>
            <w:r>
              <w:t>设施正常使用率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工程完工时间</w:t>
            </w:r>
          </w:p>
        </w:tc>
        <w:tc>
          <w:tcPr>
            <w:tcW w:w="2654" w:type="dxa"/>
            <w:vAlign w:val="center"/>
          </w:tcPr>
          <w:p>
            <w:pPr>
              <w:pStyle w:val="22"/>
            </w:pPr>
            <w:r>
              <w:t>工程完工时间</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工程总投资</w:t>
            </w:r>
          </w:p>
        </w:tc>
        <w:tc>
          <w:tcPr>
            <w:tcW w:w="2654" w:type="dxa"/>
            <w:vAlign w:val="center"/>
          </w:tcPr>
          <w:p>
            <w:pPr>
              <w:pStyle w:val="22"/>
            </w:pPr>
            <w:r>
              <w:t>工程总投资</w:t>
            </w:r>
          </w:p>
        </w:tc>
        <w:tc>
          <w:tcPr>
            <w:tcW w:w="2654" w:type="dxa"/>
            <w:vAlign w:val="center"/>
          </w:tcPr>
          <w:p>
            <w:pPr>
              <w:pStyle w:val="2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提升纪念馆知名度和公众影响力</w:t>
            </w:r>
          </w:p>
        </w:tc>
        <w:tc>
          <w:tcPr>
            <w:tcW w:w="2654" w:type="dxa"/>
            <w:vAlign w:val="center"/>
          </w:tcPr>
          <w:p>
            <w:pPr>
              <w:pStyle w:val="22"/>
            </w:pPr>
            <w:r>
              <w:t>提升纪念馆知名度和公众影响力</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健全改造工程管理制度</w:t>
            </w:r>
          </w:p>
        </w:tc>
        <w:tc>
          <w:tcPr>
            <w:tcW w:w="2654" w:type="dxa"/>
            <w:vAlign w:val="center"/>
          </w:tcPr>
          <w:p>
            <w:pPr>
              <w:pStyle w:val="22"/>
            </w:pPr>
            <w:r>
              <w:t>健全改造工程管理制度</w:t>
            </w:r>
          </w:p>
        </w:tc>
        <w:tc>
          <w:tcPr>
            <w:tcW w:w="2654" w:type="dxa"/>
            <w:vAlign w:val="center"/>
          </w:tcPr>
          <w:p>
            <w:pPr>
              <w:pStyle w:val="22"/>
            </w:pPr>
            <w:r>
              <w:t>进一步健全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760409"/>
      <w:r>
        <w:rPr>
          <w:rFonts w:hint="eastAsia" w:ascii="方正仿宋_GBK" w:hAnsi="方正仿宋_GBK" w:eastAsia="方正仿宋_GBK" w:cs="方正仿宋_GBK"/>
          <w:sz w:val="28"/>
          <w:lang w:val="en-US" w:eastAsia="zh-CN"/>
        </w:rPr>
        <w:t>15</w:t>
      </w:r>
      <w:r>
        <w:rPr>
          <w:rFonts w:ascii="方正仿宋_GBK" w:hAnsi="方正仿宋_GBK" w:eastAsia="方正仿宋_GBK" w:cs="方正仿宋_GBK"/>
          <w:sz w:val="28"/>
        </w:rPr>
        <w:t>.天津博物馆甲骨数字化保护项目（2024年国家文物保护专项资金）-中央绩效目标表</w:t>
      </w:r>
      <w:bookmarkEnd w:id="14"/>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天津博物馆甲骨数字化保护项目（2024年国家文物保护专项资金）-中央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429.30</w:t>
            </w:r>
          </w:p>
        </w:tc>
        <w:tc>
          <w:tcPr>
            <w:tcW w:w="1327" w:type="dxa"/>
            <w:vAlign w:val="center"/>
          </w:tcPr>
          <w:p>
            <w:pPr>
              <w:pStyle w:val="23"/>
            </w:pPr>
            <w:r>
              <w:t>其中：财政    资金</w:t>
            </w:r>
          </w:p>
        </w:tc>
        <w:tc>
          <w:tcPr>
            <w:tcW w:w="1327" w:type="dxa"/>
            <w:vAlign w:val="center"/>
          </w:tcPr>
          <w:p>
            <w:pPr>
              <w:pStyle w:val="22"/>
            </w:pPr>
            <w:r>
              <w:t>429.30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以调查天津博物馆馆藏甲骨资源、采集珍贵甲骨信息为基本形式，以数字化的影像采集技术、展示技术和网络技术为基本手段的文化遗产领域的数字化保护与应用工程。建设一个线上互动展示甲骨数字化应用平台，开发精品甲骨数字展项。提升天津博物馆数字化展示应用和观众体验水平，推动甲骨及其蕴含文化内容的互联网数字化传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以调查天津博物馆馆藏甲骨资源、采集珍贵甲骨信息为基本形式，以数字化的影像采集技术、展示技术和网络技术为基本手段的文化遗产领域的数字化保护与应用工程。建设一个线上互动展示甲骨数字化应用平台，开发精品甲骨数字展项。提升天津博物馆数字化展示应用和观众体验水平，推动甲骨及其蕴含文化内容的互联网数字化传播。</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文物三维数字化扫描建模（具有立体感非平面类文物）</w:t>
            </w:r>
          </w:p>
        </w:tc>
        <w:tc>
          <w:tcPr>
            <w:tcW w:w="2654" w:type="dxa"/>
            <w:vAlign w:val="center"/>
          </w:tcPr>
          <w:p>
            <w:pPr>
              <w:pStyle w:val="22"/>
            </w:pPr>
            <w:r>
              <w:t>文物三维数字化扫描建模（具有立体感非平面类文物）</w:t>
            </w:r>
          </w:p>
        </w:tc>
        <w:tc>
          <w:tcPr>
            <w:tcW w:w="2654" w:type="dxa"/>
            <w:vAlign w:val="center"/>
          </w:tcPr>
          <w:p>
            <w:pPr>
              <w:pStyle w:val="22"/>
            </w:pPr>
            <w:r>
              <w:t>≥580件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3D展示内容制作</w:t>
            </w:r>
          </w:p>
        </w:tc>
        <w:tc>
          <w:tcPr>
            <w:tcW w:w="2654" w:type="dxa"/>
            <w:vAlign w:val="center"/>
          </w:tcPr>
          <w:p>
            <w:pPr>
              <w:pStyle w:val="22"/>
            </w:pPr>
            <w:r>
              <w:t>3D展示内容制作</w:t>
            </w:r>
          </w:p>
        </w:tc>
        <w:tc>
          <w:tcPr>
            <w:tcW w:w="2654" w:type="dxa"/>
            <w:vAlign w:val="center"/>
          </w:tcPr>
          <w:p>
            <w:pPr>
              <w:pStyle w:val="22"/>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数字互动图录</w:t>
            </w:r>
          </w:p>
        </w:tc>
        <w:tc>
          <w:tcPr>
            <w:tcW w:w="2654" w:type="dxa"/>
            <w:vAlign w:val="center"/>
          </w:tcPr>
          <w:p>
            <w:pPr>
              <w:pStyle w:val="22"/>
            </w:pPr>
            <w:r>
              <w:t>数字互动图录</w:t>
            </w:r>
          </w:p>
        </w:tc>
        <w:tc>
          <w:tcPr>
            <w:tcW w:w="2654" w:type="dxa"/>
            <w:vAlign w:val="center"/>
          </w:tcPr>
          <w:p>
            <w:pPr>
              <w:pStyle w:val="22"/>
            </w:pPr>
            <w:r>
              <w:t>≥2000册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甲骨专题数字化成果展览展示</w:t>
            </w:r>
          </w:p>
        </w:tc>
        <w:tc>
          <w:tcPr>
            <w:tcW w:w="2654" w:type="dxa"/>
            <w:vAlign w:val="center"/>
          </w:tcPr>
          <w:p>
            <w:pPr>
              <w:pStyle w:val="22"/>
            </w:pPr>
            <w:r>
              <w:t>甲骨专题数字化成果展览展示</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项目验收合格率</w:t>
            </w:r>
          </w:p>
        </w:tc>
        <w:tc>
          <w:tcPr>
            <w:tcW w:w="2654" w:type="dxa"/>
            <w:vAlign w:val="center"/>
          </w:tcPr>
          <w:p>
            <w:pPr>
              <w:pStyle w:val="22"/>
            </w:pPr>
            <w:r>
              <w:t>项目验收合格率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馆藏珍贵文物抢救性保护修复率</w:t>
            </w:r>
          </w:p>
        </w:tc>
        <w:tc>
          <w:tcPr>
            <w:tcW w:w="2654" w:type="dxa"/>
            <w:vAlign w:val="center"/>
          </w:tcPr>
          <w:p>
            <w:pPr>
              <w:pStyle w:val="22"/>
            </w:pPr>
            <w:r>
              <w:t>馆藏珍贵文物抢救性保护修复率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文物损毁、违规修复发生率</w:t>
            </w:r>
          </w:p>
        </w:tc>
        <w:tc>
          <w:tcPr>
            <w:tcW w:w="2654" w:type="dxa"/>
            <w:vAlign w:val="center"/>
          </w:tcPr>
          <w:p>
            <w:pPr>
              <w:pStyle w:val="22"/>
            </w:pPr>
            <w:r>
              <w:t>文物损毁、违规修复发生率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安全事故发生率</w:t>
            </w:r>
          </w:p>
        </w:tc>
        <w:tc>
          <w:tcPr>
            <w:tcW w:w="2654" w:type="dxa"/>
            <w:vAlign w:val="center"/>
          </w:tcPr>
          <w:p>
            <w:pPr>
              <w:pStyle w:val="22"/>
            </w:pPr>
            <w:r>
              <w:t>安全事故发生率</w:t>
            </w:r>
          </w:p>
        </w:tc>
        <w:tc>
          <w:tcPr>
            <w:tcW w:w="2654"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项目按计划完成率</w:t>
            </w:r>
          </w:p>
        </w:tc>
        <w:tc>
          <w:tcPr>
            <w:tcW w:w="2654" w:type="dxa"/>
            <w:vAlign w:val="center"/>
          </w:tcPr>
          <w:p>
            <w:pPr>
              <w:pStyle w:val="22"/>
            </w:pPr>
            <w:r>
              <w:t>项目按计划完成率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文物数字化保护工作完成时间</w:t>
            </w:r>
          </w:p>
        </w:tc>
        <w:tc>
          <w:tcPr>
            <w:tcW w:w="2654" w:type="dxa"/>
            <w:vAlign w:val="center"/>
          </w:tcPr>
          <w:p>
            <w:pPr>
              <w:pStyle w:val="22"/>
            </w:pPr>
            <w:r>
              <w:t>文物数字化保护工作完成时间</w:t>
            </w:r>
          </w:p>
        </w:tc>
        <w:tc>
          <w:tcPr>
            <w:tcW w:w="2654" w:type="dxa"/>
            <w:vAlign w:val="center"/>
          </w:tcPr>
          <w:p>
            <w:pPr>
              <w:pStyle w:val="22"/>
            </w:pPr>
            <w:r>
              <w:t>2024年12月前完成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数字化保护费用</w:t>
            </w:r>
          </w:p>
        </w:tc>
        <w:tc>
          <w:tcPr>
            <w:tcW w:w="2654" w:type="dxa"/>
            <w:vAlign w:val="center"/>
          </w:tcPr>
          <w:p>
            <w:pPr>
              <w:pStyle w:val="22"/>
            </w:pPr>
            <w:r>
              <w:t>数字化保护费用</w:t>
            </w:r>
          </w:p>
        </w:tc>
        <w:tc>
          <w:tcPr>
            <w:tcW w:w="2654" w:type="dxa"/>
            <w:vAlign w:val="center"/>
          </w:tcPr>
          <w:p>
            <w:pPr>
              <w:pStyle w:val="22"/>
            </w:pPr>
            <w:r>
              <w:t>≤429.3万元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提升全国文物保护水平与全民文物保护意识</w:t>
            </w:r>
          </w:p>
        </w:tc>
        <w:tc>
          <w:tcPr>
            <w:tcW w:w="2654" w:type="dxa"/>
            <w:vAlign w:val="center"/>
          </w:tcPr>
          <w:p>
            <w:pPr>
              <w:pStyle w:val="22"/>
            </w:pPr>
            <w:r>
              <w:t>提升全国文物保护水平与全民文物保护意识</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参观人数</w:t>
            </w:r>
          </w:p>
        </w:tc>
        <w:tc>
          <w:tcPr>
            <w:tcW w:w="2654" w:type="dxa"/>
            <w:vAlign w:val="center"/>
          </w:tcPr>
          <w:p>
            <w:pPr>
              <w:pStyle w:val="22"/>
            </w:pPr>
            <w:r>
              <w:t>参观人数</w:t>
            </w:r>
          </w:p>
        </w:tc>
        <w:tc>
          <w:tcPr>
            <w:tcW w:w="2654" w:type="dxa"/>
            <w:vAlign w:val="center"/>
          </w:tcPr>
          <w:p>
            <w:pPr>
              <w:pStyle w:val="22"/>
            </w:pPr>
            <w:r>
              <w:t>≥1万人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对中华优秀传统文化传承影响</w:t>
            </w:r>
          </w:p>
        </w:tc>
        <w:tc>
          <w:tcPr>
            <w:tcW w:w="2654" w:type="dxa"/>
            <w:vAlign w:val="center"/>
          </w:tcPr>
          <w:p>
            <w:pPr>
              <w:pStyle w:val="22"/>
            </w:pPr>
            <w:r>
              <w:t>对中华优秀传统文化传承影响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传统博物馆向智慧博物馆转变</w:t>
            </w:r>
          </w:p>
        </w:tc>
        <w:tc>
          <w:tcPr>
            <w:tcW w:w="2654" w:type="dxa"/>
            <w:vAlign w:val="center"/>
          </w:tcPr>
          <w:p>
            <w:pPr>
              <w:pStyle w:val="22"/>
            </w:pPr>
            <w:r>
              <w:t>传统博物馆向智慧博物馆转变</w:t>
            </w:r>
          </w:p>
        </w:tc>
        <w:tc>
          <w:tcPr>
            <w:tcW w:w="2654" w:type="dxa"/>
            <w:vAlign w:val="center"/>
          </w:tcPr>
          <w:p>
            <w:pPr>
              <w:pStyle w:val="22"/>
            </w:pPr>
            <w:r>
              <w:t>持续推进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博物馆参观人员满意度</w:t>
            </w:r>
          </w:p>
        </w:tc>
        <w:tc>
          <w:tcPr>
            <w:tcW w:w="2654" w:type="dxa"/>
            <w:vAlign w:val="center"/>
          </w:tcPr>
          <w:p>
            <w:pPr>
              <w:pStyle w:val="22"/>
            </w:pPr>
            <w:r>
              <w:t>博物馆参观人员满意度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保护单位对文物保护满意度</w:t>
            </w:r>
          </w:p>
        </w:tc>
        <w:tc>
          <w:tcPr>
            <w:tcW w:w="2654" w:type="dxa"/>
            <w:vAlign w:val="center"/>
          </w:tcPr>
          <w:p>
            <w:pPr>
              <w:pStyle w:val="22"/>
            </w:pPr>
            <w:r>
              <w:t>保护单位对文物保护满意度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社会公众对文物保护满意度</w:t>
            </w:r>
          </w:p>
        </w:tc>
        <w:tc>
          <w:tcPr>
            <w:tcW w:w="2654" w:type="dxa"/>
            <w:vAlign w:val="center"/>
          </w:tcPr>
          <w:p>
            <w:pPr>
              <w:pStyle w:val="22"/>
            </w:pPr>
            <w:r>
              <w:t>社会公众对文物保护满意度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760410"/>
      <w:r>
        <w:rPr>
          <w:rFonts w:hint="eastAsia" w:ascii="方正仿宋_GBK" w:hAnsi="方正仿宋_GBK" w:eastAsia="方正仿宋_GBK" w:cs="方正仿宋_GBK"/>
          <w:sz w:val="28"/>
          <w:lang w:val="en-US" w:eastAsia="zh-CN"/>
        </w:rPr>
        <w:t>16</w:t>
      </w:r>
      <w:r>
        <w:rPr>
          <w:rFonts w:ascii="方正仿宋_GBK" w:hAnsi="方正仿宋_GBK" w:eastAsia="方正仿宋_GBK" w:cs="方正仿宋_GBK"/>
          <w:sz w:val="28"/>
        </w:rPr>
        <w:t>.天津博物馆书画陈列展厅（第二展厅）文物预防性保护项目（2023年国家文物保护专项资金）-中央绩效目标表</w:t>
      </w:r>
      <w:bookmarkEnd w:id="15"/>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天津博物馆书画陈列展厅（第二展厅）文物预防性保护项目（2023年国家文物保护专项资金）-中央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119.79</w:t>
            </w:r>
          </w:p>
        </w:tc>
        <w:tc>
          <w:tcPr>
            <w:tcW w:w="1327" w:type="dxa"/>
            <w:vAlign w:val="center"/>
          </w:tcPr>
          <w:p>
            <w:pPr>
              <w:pStyle w:val="23"/>
            </w:pPr>
            <w:r>
              <w:t>其中：财政    资金</w:t>
            </w:r>
          </w:p>
        </w:tc>
        <w:tc>
          <w:tcPr>
            <w:tcW w:w="1327" w:type="dxa"/>
            <w:vAlign w:val="center"/>
          </w:tcPr>
          <w:p>
            <w:pPr>
              <w:pStyle w:val="22"/>
            </w:pPr>
            <w:r>
              <w:t>119.79</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用于天津博物馆书画陈列展厅预防性保护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本项目主要针对天津博物馆五层书画陈列展厅（第二展厅）的钢化玻璃展柜进行提升改造，配置文物洁净调控设备，优化文物展示微环境，以进一步完善该馆馆藏文物的预防性收藏保护能力。具体内容包括：1、为五层书画陈列展厅（第二展厅）定制改造升级展柜13台，其中通柜9台，共87.7延米，平柜4台，柜体玻璃采用低反射夹胶玻璃和电动及手动结合的开启方式，以保证珍贵藏品展出的安全性及观赏效果。2、针对书画陈列展厅（第二展厅）的重点文物展柜配备净化恒湿设备，整治优化文物保存微环境，努力达到“稳定、洁净”的藏品保存环境状态。</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配置恒湿设备数</w:t>
            </w:r>
          </w:p>
        </w:tc>
        <w:tc>
          <w:tcPr>
            <w:tcW w:w="2654" w:type="dxa"/>
            <w:vAlign w:val="center"/>
          </w:tcPr>
          <w:p>
            <w:pPr>
              <w:pStyle w:val="22"/>
            </w:pPr>
            <w:r>
              <w:t>配置恒湿设备数</w:t>
            </w:r>
          </w:p>
        </w:tc>
        <w:tc>
          <w:tcPr>
            <w:tcW w:w="2654" w:type="dxa"/>
            <w:vAlign w:val="center"/>
          </w:tcPr>
          <w:p>
            <w:pPr>
              <w:pStyle w:val="22"/>
            </w:pPr>
            <w:r>
              <w:t>≥20台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配备夹胶玻璃展柜数</w:t>
            </w:r>
          </w:p>
        </w:tc>
        <w:tc>
          <w:tcPr>
            <w:tcW w:w="2654" w:type="dxa"/>
            <w:vAlign w:val="center"/>
          </w:tcPr>
          <w:p>
            <w:pPr>
              <w:pStyle w:val="22"/>
            </w:pPr>
            <w:r>
              <w:t>配备夹胶玻璃展柜数</w:t>
            </w:r>
          </w:p>
        </w:tc>
        <w:tc>
          <w:tcPr>
            <w:tcW w:w="2654" w:type="dxa"/>
            <w:vAlign w:val="center"/>
          </w:tcPr>
          <w:p>
            <w:pPr>
              <w:pStyle w:val="22"/>
            </w:pPr>
            <w:r>
              <w:t>≥13台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展厅改造完成合格率</w:t>
            </w:r>
          </w:p>
        </w:tc>
        <w:tc>
          <w:tcPr>
            <w:tcW w:w="2654" w:type="dxa"/>
            <w:vAlign w:val="center"/>
          </w:tcPr>
          <w:p>
            <w:pPr>
              <w:pStyle w:val="22"/>
            </w:pPr>
            <w:r>
              <w:t>展厅改造完成合格率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项目完成时间</w:t>
            </w:r>
          </w:p>
        </w:tc>
        <w:tc>
          <w:tcPr>
            <w:tcW w:w="2654" w:type="dxa"/>
            <w:vAlign w:val="center"/>
          </w:tcPr>
          <w:p>
            <w:pPr>
              <w:pStyle w:val="22"/>
            </w:pPr>
            <w:r>
              <w:t>项目完成时间</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展厅改造费用</w:t>
            </w:r>
          </w:p>
        </w:tc>
        <w:tc>
          <w:tcPr>
            <w:tcW w:w="2654" w:type="dxa"/>
            <w:vAlign w:val="center"/>
          </w:tcPr>
          <w:p>
            <w:pPr>
              <w:pStyle w:val="22"/>
            </w:pPr>
            <w:r>
              <w:t>展厅改造费用</w:t>
            </w:r>
          </w:p>
        </w:tc>
        <w:tc>
          <w:tcPr>
            <w:tcW w:w="2654" w:type="dxa"/>
            <w:vAlign w:val="center"/>
          </w:tcPr>
          <w:p>
            <w:pPr>
              <w:pStyle w:val="22"/>
            </w:pPr>
            <w:r>
              <w:t>≤119.8万元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提升文物预防性保护水平</w:t>
            </w:r>
          </w:p>
        </w:tc>
        <w:tc>
          <w:tcPr>
            <w:tcW w:w="2654" w:type="dxa"/>
            <w:vAlign w:val="center"/>
          </w:tcPr>
          <w:p>
            <w:pPr>
              <w:pStyle w:val="22"/>
            </w:pPr>
            <w:r>
              <w:t>提升文物预防性保护水平</w:t>
            </w:r>
          </w:p>
        </w:tc>
        <w:tc>
          <w:tcPr>
            <w:tcW w:w="2654" w:type="dxa"/>
            <w:vAlign w:val="center"/>
          </w:tcPr>
          <w:p>
            <w:pPr>
              <w:pStyle w:val="2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藏品保存环境稳定洁净时间</w:t>
            </w:r>
          </w:p>
        </w:tc>
        <w:tc>
          <w:tcPr>
            <w:tcW w:w="2654" w:type="dxa"/>
            <w:vAlign w:val="center"/>
          </w:tcPr>
          <w:p>
            <w:pPr>
              <w:pStyle w:val="22"/>
            </w:pPr>
            <w:r>
              <w:t>藏品保存环境稳定洁净时间</w:t>
            </w:r>
          </w:p>
        </w:tc>
        <w:tc>
          <w:tcPr>
            <w:tcW w:w="2654" w:type="dxa"/>
            <w:vAlign w:val="center"/>
          </w:tcPr>
          <w:p>
            <w:pPr>
              <w:pStyle w:val="2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参观人员对文物保护满意度</w:t>
            </w:r>
          </w:p>
        </w:tc>
        <w:tc>
          <w:tcPr>
            <w:tcW w:w="2654" w:type="dxa"/>
            <w:vAlign w:val="center"/>
          </w:tcPr>
          <w:p>
            <w:pPr>
              <w:pStyle w:val="22"/>
            </w:pPr>
            <w:r>
              <w:t>参观人员对文物保护满意度</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使用人员对文物保护满意度</w:t>
            </w:r>
          </w:p>
        </w:tc>
        <w:tc>
          <w:tcPr>
            <w:tcW w:w="2654" w:type="dxa"/>
            <w:vAlign w:val="center"/>
          </w:tcPr>
          <w:p>
            <w:pPr>
              <w:pStyle w:val="22"/>
            </w:pPr>
            <w:r>
              <w:t>使用人员对文物保护满意度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760411"/>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.天津博物馆书画陈列展厅（第三展厅）文物预防性保护项目（2024年国家文物保护专项资金）-中央绩效目标表</w:t>
      </w:r>
      <w:bookmarkEnd w:id="16"/>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天津博物馆书画陈列展厅（第三展厅）文物预防性保护项目（2024年国家文物保护专项资金）-中央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907.90</w:t>
            </w:r>
          </w:p>
        </w:tc>
        <w:tc>
          <w:tcPr>
            <w:tcW w:w="1327" w:type="dxa"/>
            <w:vAlign w:val="center"/>
          </w:tcPr>
          <w:p>
            <w:pPr>
              <w:pStyle w:val="23"/>
            </w:pPr>
            <w:r>
              <w:t>其中：财政    资金</w:t>
            </w:r>
          </w:p>
        </w:tc>
        <w:tc>
          <w:tcPr>
            <w:tcW w:w="1327" w:type="dxa"/>
            <w:vAlign w:val="center"/>
          </w:tcPr>
          <w:p>
            <w:pPr>
              <w:pStyle w:val="22"/>
            </w:pPr>
            <w:r>
              <w:t>907.90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本项目主要针对天津博物馆五层书画陈列展厅（第三展厅）的钢化玻璃展柜进行提升改造，配置文物洁净调控设备，优化文物展示微环境，以进一步完善该馆馆藏珍贵文物的预防性收藏保护能力。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1.本项目主要针对天津博物馆五层书画陈列展厅（第三展厅）的钢化玻璃展柜进行提升改造，配置文物洁净调控设备，优化文物展示微环境，以进一步完善该馆馆藏珍贵文物的预防性收藏保护能力。</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配备夹胶玻璃展柜数</w:t>
            </w:r>
          </w:p>
        </w:tc>
        <w:tc>
          <w:tcPr>
            <w:tcW w:w="2654" w:type="dxa"/>
            <w:vAlign w:val="center"/>
          </w:tcPr>
          <w:p>
            <w:pPr>
              <w:pStyle w:val="22"/>
            </w:pPr>
            <w:r>
              <w:t>配备夹胶玻璃展柜数</w:t>
            </w:r>
          </w:p>
        </w:tc>
        <w:tc>
          <w:tcPr>
            <w:tcW w:w="2654" w:type="dxa"/>
            <w:vAlign w:val="center"/>
          </w:tcPr>
          <w:p>
            <w:pPr>
              <w:pStyle w:val="22"/>
            </w:pPr>
            <w:r>
              <w:t>≤18台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配置恒湿设备数</w:t>
            </w:r>
          </w:p>
        </w:tc>
        <w:tc>
          <w:tcPr>
            <w:tcW w:w="2654" w:type="dxa"/>
            <w:vAlign w:val="center"/>
          </w:tcPr>
          <w:p>
            <w:pPr>
              <w:pStyle w:val="22"/>
            </w:pPr>
            <w:r>
              <w:t>配置恒湿设备数</w:t>
            </w:r>
          </w:p>
        </w:tc>
        <w:tc>
          <w:tcPr>
            <w:tcW w:w="2654" w:type="dxa"/>
            <w:vAlign w:val="center"/>
          </w:tcPr>
          <w:p>
            <w:pPr>
              <w:pStyle w:val="22"/>
            </w:pPr>
            <w:r>
              <w:t>≤37台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项目验收合格率</w:t>
            </w:r>
          </w:p>
        </w:tc>
        <w:tc>
          <w:tcPr>
            <w:tcW w:w="2654" w:type="dxa"/>
            <w:vAlign w:val="center"/>
          </w:tcPr>
          <w:p>
            <w:pPr>
              <w:pStyle w:val="22"/>
            </w:pPr>
            <w:r>
              <w:t>项目验收合格率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馆藏珍贵文物和重要出土文物的抢救性保护修复率</w:t>
            </w:r>
          </w:p>
        </w:tc>
        <w:tc>
          <w:tcPr>
            <w:tcW w:w="2654" w:type="dxa"/>
            <w:vAlign w:val="center"/>
          </w:tcPr>
          <w:p>
            <w:pPr>
              <w:pStyle w:val="22"/>
            </w:pPr>
            <w:r>
              <w:t>馆藏珍贵文物和重要出土文物的抢救性保护修复率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文物损毁、违规修复发生率</w:t>
            </w:r>
          </w:p>
        </w:tc>
        <w:tc>
          <w:tcPr>
            <w:tcW w:w="2654" w:type="dxa"/>
            <w:vAlign w:val="center"/>
          </w:tcPr>
          <w:p>
            <w:pPr>
              <w:pStyle w:val="22"/>
            </w:pPr>
            <w:r>
              <w:t>文物损毁、违规修复发生率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安全事故发生率</w:t>
            </w:r>
          </w:p>
        </w:tc>
        <w:tc>
          <w:tcPr>
            <w:tcW w:w="2654" w:type="dxa"/>
            <w:vAlign w:val="center"/>
          </w:tcPr>
          <w:p>
            <w:pPr>
              <w:pStyle w:val="22"/>
            </w:pPr>
            <w:r>
              <w:t>安全事故发生率</w:t>
            </w:r>
          </w:p>
        </w:tc>
        <w:tc>
          <w:tcPr>
            <w:tcW w:w="2654"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项目按计划完成率</w:t>
            </w:r>
          </w:p>
        </w:tc>
        <w:tc>
          <w:tcPr>
            <w:tcW w:w="2654" w:type="dxa"/>
            <w:vAlign w:val="center"/>
          </w:tcPr>
          <w:p>
            <w:pPr>
              <w:pStyle w:val="22"/>
            </w:pPr>
            <w:r>
              <w:t>项目按计划完成率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文物预防性保护工作完成时间</w:t>
            </w:r>
          </w:p>
        </w:tc>
        <w:tc>
          <w:tcPr>
            <w:tcW w:w="2654" w:type="dxa"/>
            <w:vAlign w:val="center"/>
          </w:tcPr>
          <w:p>
            <w:pPr>
              <w:pStyle w:val="22"/>
            </w:pPr>
            <w:r>
              <w:t>文物预防性保护工作完成时间</w:t>
            </w:r>
          </w:p>
        </w:tc>
        <w:tc>
          <w:tcPr>
            <w:tcW w:w="2654" w:type="dxa"/>
            <w:vAlign w:val="center"/>
          </w:tcPr>
          <w:p>
            <w:pPr>
              <w:pStyle w:val="22"/>
            </w:pPr>
            <w:r>
              <w:t>2024年12月前完成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预防性保护费用</w:t>
            </w:r>
          </w:p>
        </w:tc>
        <w:tc>
          <w:tcPr>
            <w:tcW w:w="2654" w:type="dxa"/>
            <w:vAlign w:val="center"/>
          </w:tcPr>
          <w:p>
            <w:pPr>
              <w:pStyle w:val="22"/>
            </w:pPr>
            <w:r>
              <w:t>预防性保护费用</w:t>
            </w:r>
          </w:p>
        </w:tc>
        <w:tc>
          <w:tcPr>
            <w:tcW w:w="2654" w:type="dxa"/>
            <w:vAlign w:val="center"/>
          </w:tcPr>
          <w:p>
            <w:pPr>
              <w:pStyle w:val="22"/>
            </w:pPr>
            <w:r>
              <w:t>≤907.9万元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提升全国文物保护水平与全民文物保护意识</w:t>
            </w:r>
          </w:p>
        </w:tc>
        <w:tc>
          <w:tcPr>
            <w:tcW w:w="2654" w:type="dxa"/>
            <w:vAlign w:val="center"/>
          </w:tcPr>
          <w:p>
            <w:pPr>
              <w:pStyle w:val="22"/>
            </w:pPr>
            <w:r>
              <w:t>提升全国文物保护水平与全民文物保护意识</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参观人数</w:t>
            </w:r>
          </w:p>
        </w:tc>
        <w:tc>
          <w:tcPr>
            <w:tcW w:w="2654" w:type="dxa"/>
            <w:vAlign w:val="center"/>
          </w:tcPr>
          <w:p>
            <w:pPr>
              <w:pStyle w:val="22"/>
            </w:pPr>
            <w:r>
              <w:t>参观人数</w:t>
            </w:r>
          </w:p>
        </w:tc>
        <w:tc>
          <w:tcPr>
            <w:tcW w:w="2654" w:type="dxa"/>
            <w:vAlign w:val="center"/>
          </w:tcPr>
          <w:p>
            <w:pPr>
              <w:pStyle w:val="22"/>
            </w:pPr>
            <w:r>
              <w:t>≥10万人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对中华优秀传统文化传承影响</w:t>
            </w:r>
          </w:p>
        </w:tc>
        <w:tc>
          <w:tcPr>
            <w:tcW w:w="2654" w:type="dxa"/>
            <w:vAlign w:val="center"/>
          </w:tcPr>
          <w:p>
            <w:pPr>
              <w:pStyle w:val="22"/>
            </w:pPr>
            <w:r>
              <w:t>对中华优秀传统文化传承影响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“稳定、洁净”的藏品保存环境</w:t>
            </w:r>
          </w:p>
        </w:tc>
        <w:tc>
          <w:tcPr>
            <w:tcW w:w="2654" w:type="dxa"/>
            <w:vAlign w:val="center"/>
          </w:tcPr>
          <w:p>
            <w:pPr>
              <w:pStyle w:val="22"/>
            </w:pPr>
            <w:r>
              <w:t>“稳定、洁净”的藏品保存环境</w:t>
            </w:r>
          </w:p>
        </w:tc>
        <w:tc>
          <w:tcPr>
            <w:tcW w:w="2654" w:type="dxa"/>
            <w:vAlign w:val="center"/>
          </w:tcPr>
          <w:p>
            <w:pPr>
              <w:pStyle w:val="2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博物馆参观人员满意度</w:t>
            </w:r>
          </w:p>
        </w:tc>
        <w:tc>
          <w:tcPr>
            <w:tcW w:w="2654" w:type="dxa"/>
            <w:vAlign w:val="center"/>
          </w:tcPr>
          <w:p>
            <w:pPr>
              <w:pStyle w:val="22"/>
            </w:pPr>
            <w:r>
              <w:t>博物馆参观人员满意度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保护单位对文物保护满意度</w:t>
            </w:r>
          </w:p>
        </w:tc>
        <w:tc>
          <w:tcPr>
            <w:tcW w:w="2654" w:type="dxa"/>
            <w:vAlign w:val="center"/>
          </w:tcPr>
          <w:p>
            <w:pPr>
              <w:pStyle w:val="22"/>
            </w:pPr>
            <w:r>
              <w:t>保护单位对文物保护满意度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社会公众对文物保护满意度</w:t>
            </w:r>
          </w:p>
        </w:tc>
        <w:tc>
          <w:tcPr>
            <w:tcW w:w="2654" w:type="dxa"/>
            <w:vAlign w:val="center"/>
          </w:tcPr>
          <w:p>
            <w:pPr>
              <w:pStyle w:val="22"/>
            </w:pPr>
            <w:r>
              <w:t>社会公众对文物保护满意度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760412"/>
      <w:r>
        <w:rPr>
          <w:rFonts w:hint="eastAsia" w:ascii="方正仿宋_GBK" w:hAnsi="方正仿宋_GBK" w:eastAsia="方正仿宋_GBK" w:cs="方正仿宋_GBK"/>
          <w:sz w:val="28"/>
          <w:lang w:val="en-US" w:eastAsia="zh-CN"/>
        </w:rPr>
        <w:t>18</w:t>
      </w:r>
      <w:r>
        <w:rPr>
          <w:rFonts w:ascii="方正仿宋_GBK" w:hAnsi="方正仿宋_GBK" w:eastAsia="方正仿宋_GBK" w:cs="方正仿宋_GBK"/>
          <w:sz w:val="28"/>
        </w:rPr>
        <w:t>.天津博物馆消防系统设施维修工程尾款绩效目标表</w:t>
      </w:r>
      <w:bookmarkEnd w:id="17"/>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天津博物馆消防系统设施维修工程尾款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85.00</w:t>
            </w:r>
          </w:p>
        </w:tc>
        <w:tc>
          <w:tcPr>
            <w:tcW w:w="1327" w:type="dxa"/>
            <w:vAlign w:val="center"/>
          </w:tcPr>
          <w:p>
            <w:pPr>
              <w:pStyle w:val="23"/>
            </w:pPr>
            <w:r>
              <w:t>其中：财政    资金</w:t>
            </w:r>
          </w:p>
        </w:tc>
        <w:tc>
          <w:tcPr>
            <w:tcW w:w="1327" w:type="dxa"/>
            <w:vAlign w:val="center"/>
          </w:tcPr>
          <w:p>
            <w:pPr>
              <w:pStyle w:val="22"/>
            </w:pPr>
            <w:r>
              <w:t>85.00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完成天津博物馆消防系统设施维修项目剩余工程，保障设施正常运转。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1.完成天津博物馆消防系统设施维修项目剩余工程，保障设施正常运转。</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维修消防系统设施数量</w:t>
            </w:r>
          </w:p>
        </w:tc>
        <w:tc>
          <w:tcPr>
            <w:tcW w:w="2654" w:type="dxa"/>
            <w:vAlign w:val="center"/>
          </w:tcPr>
          <w:p>
            <w:pPr>
              <w:pStyle w:val="22"/>
            </w:pPr>
            <w:r>
              <w:t>维修消防系统设施数量</w:t>
            </w:r>
          </w:p>
        </w:tc>
        <w:tc>
          <w:tcPr>
            <w:tcW w:w="2654" w:type="dxa"/>
            <w:vAlign w:val="center"/>
          </w:tcPr>
          <w:p>
            <w:pPr>
              <w:pStyle w:val="2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设计功能实现率</w:t>
            </w:r>
          </w:p>
        </w:tc>
        <w:tc>
          <w:tcPr>
            <w:tcW w:w="2654" w:type="dxa"/>
            <w:vAlign w:val="center"/>
          </w:tcPr>
          <w:p>
            <w:pPr>
              <w:pStyle w:val="22"/>
            </w:pPr>
            <w:r>
              <w:t>设计功能实现率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竣工验收合格率</w:t>
            </w:r>
          </w:p>
        </w:tc>
        <w:tc>
          <w:tcPr>
            <w:tcW w:w="2654" w:type="dxa"/>
            <w:vAlign w:val="center"/>
          </w:tcPr>
          <w:p>
            <w:pPr>
              <w:pStyle w:val="22"/>
            </w:pPr>
            <w:r>
              <w:t>竣工验收合格率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消防系统设施维修完成时间</w:t>
            </w:r>
          </w:p>
        </w:tc>
        <w:tc>
          <w:tcPr>
            <w:tcW w:w="2654" w:type="dxa"/>
            <w:vAlign w:val="center"/>
          </w:tcPr>
          <w:p>
            <w:pPr>
              <w:pStyle w:val="22"/>
            </w:pPr>
            <w:r>
              <w:t>消防系统设施维修完成时间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消防系统设施维修经费</w:t>
            </w:r>
          </w:p>
        </w:tc>
        <w:tc>
          <w:tcPr>
            <w:tcW w:w="2654" w:type="dxa"/>
            <w:vAlign w:val="center"/>
          </w:tcPr>
          <w:p>
            <w:pPr>
              <w:pStyle w:val="22"/>
            </w:pPr>
            <w:r>
              <w:t>消防系统设施维修经费</w:t>
            </w:r>
          </w:p>
        </w:tc>
        <w:tc>
          <w:tcPr>
            <w:tcW w:w="2654" w:type="dxa"/>
            <w:vAlign w:val="center"/>
          </w:tcPr>
          <w:p>
            <w:pPr>
              <w:pStyle w:val="22"/>
            </w:pPr>
            <w:r>
              <w:t>≤85万元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设施正常运转率</w:t>
            </w:r>
          </w:p>
        </w:tc>
        <w:tc>
          <w:tcPr>
            <w:tcW w:w="2654" w:type="dxa"/>
            <w:vAlign w:val="center"/>
          </w:tcPr>
          <w:p>
            <w:pPr>
              <w:pStyle w:val="22"/>
            </w:pPr>
            <w:r>
              <w:t>设施正常运转率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天津博物馆工作人员满意度</w:t>
            </w:r>
          </w:p>
        </w:tc>
        <w:tc>
          <w:tcPr>
            <w:tcW w:w="2654" w:type="dxa"/>
            <w:vAlign w:val="center"/>
          </w:tcPr>
          <w:p>
            <w:pPr>
              <w:pStyle w:val="22"/>
            </w:pPr>
            <w:r>
              <w:t>天津博物馆工作人员满意度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760413"/>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.中央对地方博物馆纪念馆免费开放补助资金-中央绩效目标表</w:t>
      </w:r>
      <w:bookmarkEnd w:id="18"/>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830.00</w:t>
            </w:r>
          </w:p>
        </w:tc>
        <w:tc>
          <w:tcPr>
            <w:tcW w:w="1327" w:type="dxa"/>
            <w:vAlign w:val="center"/>
          </w:tcPr>
          <w:p>
            <w:pPr>
              <w:pStyle w:val="23"/>
            </w:pPr>
            <w:r>
              <w:t>其中：财政    资金</w:t>
            </w:r>
          </w:p>
        </w:tc>
        <w:tc>
          <w:tcPr>
            <w:tcW w:w="1327" w:type="dxa"/>
            <w:vAlign w:val="center"/>
          </w:tcPr>
          <w:p>
            <w:pPr>
              <w:pStyle w:val="22"/>
            </w:pPr>
            <w:r>
              <w:t>830.00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 xml:space="preserve"> 为提升天津博物馆为观众服务的水平和能力，提升展馆质量、改善导览水平，丰富展览社教形式，为观众提供更加安全和全面参观体验，保证天津博物馆免费开放后正常运转。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    为提升天津博物馆为观众服务的水平和能力，提升展馆质量、改善导览水平，丰富展览社教形式，为观众提供更加安全和全面参观体验，保证天津博物馆免费开放后正常运转。</w:t>
            </w:r>
          </w:p>
        </w:tc>
      </w:tr>
    </w:tbl>
    <w:p>
      <w:pPr>
        <w:spacing w:line="2" w:lineRule="exact"/>
        <w:jc w:val="center"/>
      </w:pPr>
      <w:r>
        <w:rPr>
          <w:rFonts w:ascii="方正书宋_GBK" w:hAnsi="方正书宋_GBK" w:eastAsia="方正书宋_GBK" w:cs="方正书宋_GBK"/>
          <w:sz w:val="21"/>
        </w:rPr>
        <w:t xml:space="preserve"> </w:t>
      </w: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组织各类展览展示活动数量</w:t>
            </w:r>
          </w:p>
        </w:tc>
        <w:tc>
          <w:tcPr>
            <w:tcW w:w="2654" w:type="dxa"/>
            <w:vAlign w:val="center"/>
          </w:tcPr>
          <w:p>
            <w:pPr>
              <w:pStyle w:val="22"/>
            </w:pPr>
            <w:r>
              <w:t>组织各类展览展示活动数量</w:t>
            </w:r>
          </w:p>
        </w:tc>
        <w:tc>
          <w:tcPr>
            <w:tcW w:w="2654" w:type="dxa"/>
            <w:vAlign w:val="center"/>
          </w:tcPr>
          <w:p>
            <w:pPr>
              <w:pStyle w:val="22"/>
            </w:pPr>
            <w:r>
              <w:t>≥18个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展览、活动举办完成率</w:t>
            </w:r>
          </w:p>
        </w:tc>
        <w:tc>
          <w:tcPr>
            <w:tcW w:w="2654" w:type="dxa"/>
            <w:vAlign w:val="center"/>
          </w:tcPr>
          <w:p>
            <w:pPr>
              <w:pStyle w:val="22"/>
            </w:pPr>
            <w:r>
              <w:t>展览、活动举办完成率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资金使用合规率</w:t>
            </w:r>
          </w:p>
        </w:tc>
        <w:tc>
          <w:tcPr>
            <w:tcW w:w="2654" w:type="dxa"/>
            <w:vAlign w:val="center"/>
          </w:tcPr>
          <w:p>
            <w:pPr>
              <w:pStyle w:val="22"/>
            </w:pPr>
            <w:r>
              <w:t>资金使用合规率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补助金额</w:t>
            </w:r>
          </w:p>
        </w:tc>
        <w:tc>
          <w:tcPr>
            <w:tcW w:w="2654" w:type="dxa"/>
            <w:vAlign w:val="center"/>
          </w:tcPr>
          <w:p>
            <w:pPr>
              <w:pStyle w:val="22"/>
            </w:pPr>
            <w:r>
              <w:t>补助金额</w:t>
            </w:r>
          </w:p>
        </w:tc>
        <w:tc>
          <w:tcPr>
            <w:tcW w:w="2654" w:type="dxa"/>
            <w:vAlign w:val="center"/>
          </w:tcPr>
          <w:p>
            <w:pPr>
              <w:pStyle w:val="22"/>
            </w:pPr>
            <w:r>
              <w:t>≤830万元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场馆开放天数</w:t>
            </w:r>
          </w:p>
        </w:tc>
        <w:tc>
          <w:tcPr>
            <w:tcW w:w="2654" w:type="dxa"/>
            <w:vAlign w:val="center"/>
          </w:tcPr>
          <w:p>
            <w:pPr>
              <w:pStyle w:val="22"/>
            </w:pPr>
            <w:r>
              <w:t>场馆开放天数</w:t>
            </w:r>
          </w:p>
        </w:tc>
        <w:tc>
          <w:tcPr>
            <w:tcW w:w="2654" w:type="dxa"/>
            <w:vAlign w:val="center"/>
          </w:tcPr>
          <w:p>
            <w:pPr>
              <w:pStyle w:val="22"/>
            </w:pPr>
            <w:r>
              <w:t>≥315天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开展社教活动数量</w:t>
            </w:r>
          </w:p>
        </w:tc>
        <w:tc>
          <w:tcPr>
            <w:tcW w:w="2654" w:type="dxa"/>
            <w:vAlign w:val="center"/>
          </w:tcPr>
          <w:p>
            <w:pPr>
              <w:pStyle w:val="22"/>
            </w:pPr>
            <w:r>
              <w:t>开展社教活动数量</w:t>
            </w:r>
          </w:p>
        </w:tc>
        <w:tc>
          <w:tcPr>
            <w:tcW w:w="2654" w:type="dxa"/>
            <w:vAlign w:val="center"/>
          </w:tcPr>
          <w:p>
            <w:pPr>
              <w:pStyle w:val="22"/>
            </w:pPr>
            <w:r>
              <w:t>≥48次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新闻媒体正面宣传报道数量</w:t>
            </w:r>
          </w:p>
        </w:tc>
        <w:tc>
          <w:tcPr>
            <w:tcW w:w="2654" w:type="dxa"/>
            <w:vAlign w:val="center"/>
          </w:tcPr>
          <w:p>
            <w:pPr>
              <w:pStyle w:val="22"/>
            </w:pPr>
            <w:r>
              <w:t>新闻媒体正面宣传报道数量</w:t>
            </w:r>
          </w:p>
        </w:tc>
        <w:tc>
          <w:tcPr>
            <w:tcW w:w="2654" w:type="dxa"/>
            <w:vAlign w:val="center"/>
          </w:tcPr>
          <w:p>
            <w:pPr>
              <w:pStyle w:val="22"/>
            </w:pPr>
            <w:r>
              <w:t>≥24次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公众满意度</w:t>
            </w:r>
          </w:p>
        </w:tc>
        <w:tc>
          <w:tcPr>
            <w:tcW w:w="2654" w:type="dxa"/>
            <w:vAlign w:val="center"/>
          </w:tcPr>
          <w:p>
            <w:pPr>
              <w:pStyle w:val="22"/>
            </w:pPr>
            <w:r>
              <w:t>公众满意度</w:t>
            </w:r>
          </w:p>
        </w:tc>
        <w:tc>
          <w:tcPr>
            <w:tcW w:w="2654" w:type="dxa"/>
            <w:vAlign w:val="center"/>
          </w:tcPr>
          <w:p>
            <w:pPr>
              <w:pStyle w:val="22"/>
            </w:pPr>
            <w:r>
              <w:t>≥99%</w:t>
            </w:r>
          </w:p>
        </w:tc>
      </w:tr>
    </w:tbl>
    <w:p>
      <w:pPr>
        <w:jc w:val="center"/>
      </w:pPr>
      <w:r>
        <w:rPr>
          <w:rFonts w:ascii="方正仿宋_GBK" w:hAnsi="方正仿宋_GBK" w:eastAsia="方正仿宋_GBK" w:cs="方正仿宋_GBK"/>
          <w:sz w:val="28"/>
        </w:rPr>
        <w:t xml:space="preserve"> </w:t>
      </w:r>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zOTI5MzIzZmExZjA4NDVkNTc5NGQ4MTVjYTY5MjkifQ=="/>
  </w:docVars>
  <w:rsids>
    <w:rsidRoot w:val="00DD71FF"/>
    <w:rsid w:val="009E4EC6"/>
    <w:rsid w:val="00D919D0"/>
    <w:rsid w:val="00DD71FF"/>
    <w:rsid w:val="07AC1D64"/>
    <w:rsid w:val="1FF6612B"/>
    <w:rsid w:val="5742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widowControl w:val="0"/>
      <w:ind w:left="2520" w:leftChars="1200"/>
      <w:jc w:val="both"/>
    </w:pPr>
    <w:rPr>
      <w:rFonts w:asciiTheme="minorHAnsi" w:hAnsiTheme="minorHAnsi" w:eastAsiaTheme="minorEastAsia" w:cstheme="minorBidi"/>
      <w:kern w:val="2"/>
      <w:sz w:val="21"/>
      <w:szCs w:val="22"/>
      <w:lang w:eastAsia="zh-CN"/>
    </w:rPr>
  </w:style>
  <w:style w:type="paragraph" w:styleId="3">
    <w:name w:val="toc 5"/>
    <w:basedOn w:val="1"/>
    <w:next w:val="1"/>
    <w:unhideWhenUsed/>
    <w:qFormat/>
    <w:uiPriority w:val="39"/>
    <w:pPr>
      <w:widowControl w:val="0"/>
      <w:ind w:left="1680" w:leftChars="800"/>
      <w:jc w:val="both"/>
    </w:pPr>
    <w:rPr>
      <w:rFonts w:asciiTheme="minorHAnsi" w:hAnsiTheme="minorHAnsi" w:eastAsiaTheme="minorEastAsia" w:cstheme="minorBidi"/>
      <w:kern w:val="2"/>
      <w:sz w:val="21"/>
      <w:szCs w:val="22"/>
      <w:lang w:eastAsia="zh-CN"/>
    </w:rPr>
  </w:style>
  <w:style w:type="paragraph" w:styleId="4">
    <w:name w:val="toc 3"/>
    <w:basedOn w:val="1"/>
    <w:next w:val="1"/>
    <w:unhideWhenUsed/>
    <w:qFormat/>
    <w:uiPriority w:val="39"/>
    <w:pPr>
      <w:widowControl w:val="0"/>
      <w:ind w:left="840" w:leftChars="400"/>
      <w:jc w:val="both"/>
    </w:pPr>
    <w:rPr>
      <w:rFonts w:asciiTheme="minorHAnsi" w:hAnsiTheme="minorHAnsi" w:eastAsiaTheme="minorEastAsia" w:cstheme="minorBidi"/>
      <w:kern w:val="2"/>
      <w:sz w:val="21"/>
      <w:szCs w:val="22"/>
      <w:lang w:eastAsia="zh-CN"/>
    </w:rPr>
  </w:style>
  <w:style w:type="paragraph" w:styleId="5">
    <w:name w:val="toc 8"/>
    <w:basedOn w:val="1"/>
    <w:next w:val="1"/>
    <w:unhideWhenUsed/>
    <w:qFormat/>
    <w:uiPriority w:val="39"/>
    <w:pPr>
      <w:widowControl w:val="0"/>
      <w:ind w:left="2940" w:leftChars="1400"/>
      <w:jc w:val="both"/>
    </w:pPr>
    <w:rPr>
      <w:rFonts w:asciiTheme="minorHAnsi" w:hAnsiTheme="minorHAnsi" w:eastAsiaTheme="minorEastAsia" w:cstheme="minorBidi"/>
      <w:kern w:val="2"/>
      <w:sz w:val="21"/>
      <w:szCs w:val="22"/>
      <w:lang w:eastAsia="zh-CN"/>
    </w:rPr>
  </w:style>
  <w:style w:type="paragraph" w:styleId="6">
    <w:name w:val="footer"/>
    <w:basedOn w:val="1"/>
    <w:link w:val="26"/>
    <w:unhideWhenUsed/>
    <w:qFormat/>
    <w:uiPriority w:val="99"/>
    <w:pPr>
      <w:tabs>
        <w:tab w:val="center" w:pos="4153"/>
        <w:tab w:val="right" w:pos="8306"/>
      </w:tabs>
      <w:snapToGrid w:val="0"/>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pPr>
    <w:rPr>
      <w:rFonts w:eastAsia="方正仿宋_GBK"/>
      <w:color w:val="000000"/>
      <w:sz w:val="28"/>
    </w:rPr>
  </w:style>
  <w:style w:type="paragraph" w:styleId="9">
    <w:name w:val="toc 4"/>
    <w:basedOn w:val="1"/>
    <w:next w:val="1"/>
    <w:qFormat/>
    <w:uiPriority w:val="39"/>
    <w:pPr>
      <w:ind w:left="720"/>
    </w:pPr>
  </w:style>
  <w:style w:type="paragraph" w:styleId="10">
    <w:name w:val="toc 6"/>
    <w:basedOn w:val="1"/>
    <w:next w:val="1"/>
    <w:unhideWhenUsed/>
    <w:qFormat/>
    <w:uiPriority w:val="39"/>
    <w:pPr>
      <w:widowControl w:val="0"/>
      <w:ind w:left="2100" w:leftChars="1000"/>
      <w:jc w:val="both"/>
    </w:pPr>
    <w:rPr>
      <w:rFonts w:asciiTheme="minorHAnsi" w:hAnsiTheme="minorHAnsi" w:eastAsiaTheme="minorEastAsia" w:cstheme="minorBidi"/>
      <w:kern w:val="2"/>
      <w:sz w:val="21"/>
      <w:szCs w:val="22"/>
      <w:lang w:eastAsia="zh-CN"/>
    </w:rPr>
  </w:style>
  <w:style w:type="paragraph" w:styleId="11">
    <w:name w:val="toc 2"/>
    <w:basedOn w:val="1"/>
    <w:next w:val="1"/>
    <w:qFormat/>
    <w:uiPriority w:val="39"/>
    <w:pPr>
      <w:ind w:left="240"/>
    </w:pPr>
  </w:style>
  <w:style w:type="paragraph" w:styleId="12">
    <w:name w:val="toc 9"/>
    <w:basedOn w:val="1"/>
    <w:next w:val="1"/>
    <w:unhideWhenUsed/>
    <w:qFormat/>
    <w:uiPriority w:val="39"/>
    <w:pPr>
      <w:widowControl w:val="0"/>
      <w:ind w:left="3360" w:leftChars="1600"/>
      <w:jc w:val="both"/>
    </w:pPr>
    <w:rPr>
      <w:rFonts w:asciiTheme="minorHAnsi" w:hAnsiTheme="minorHAnsi" w:eastAsiaTheme="minorEastAsia" w:cstheme="minorBidi"/>
      <w:kern w:val="2"/>
      <w:sz w:val="21"/>
      <w:szCs w:val="22"/>
      <w:lang w:eastAsia="zh-CN"/>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插入文本样式-插入总体目标文件"/>
    <w:basedOn w:val="1"/>
    <w:qFormat/>
    <w:uiPriority w:val="0"/>
    <w:pPr>
      <w:spacing w:line="500" w:lineRule="exact"/>
      <w:ind w:firstLine="560"/>
    </w:pPr>
    <w:rPr>
      <w:rFonts w:eastAsia="方正仿宋_GBK"/>
      <w:sz w:val="28"/>
    </w:rPr>
  </w:style>
  <w:style w:type="paragraph" w:customStyle="1" w:styleId="18">
    <w:name w:val="插入文本样式-插入职责分类绩效目标文件"/>
    <w:basedOn w:val="1"/>
    <w:qFormat/>
    <w:uiPriority w:val="0"/>
    <w:pPr>
      <w:spacing w:line="500" w:lineRule="exact"/>
      <w:ind w:firstLine="560"/>
    </w:pPr>
    <w:rPr>
      <w:rFonts w:eastAsia="方正仿宋_GBK"/>
      <w:sz w:val="28"/>
    </w:rPr>
  </w:style>
  <w:style w:type="paragraph" w:customStyle="1" w:styleId="1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1"/>
    <w:basedOn w:val="1"/>
    <w:qFormat/>
    <w:uiPriority w:val="0"/>
    <w:pPr>
      <w:jc w:val="center"/>
    </w:pPr>
    <w:rPr>
      <w:rFonts w:ascii="方正书宋_GBK" w:hAnsi="方正书宋_GBK" w:eastAsia="方正书宋_GBK" w:cs="方正书宋_GBK"/>
      <w:b/>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character" w:customStyle="1" w:styleId="25">
    <w:name w:val="页眉 Char"/>
    <w:basedOn w:val="15"/>
    <w:link w:val="7"/>
    <w:qFormat/>
    <w:uiPriority w:val="99"/>
    <w:rPr>
      <w:rFonts w:eastAsia="Times New Roman"/>
      <w:sz w:val="18"/>
      <w:szCs w:val="18"/>
      <w:lang w:eastAsia="uk-UA"/>
    </w:rPr>
  </w:style>
  <w:style w:type="character" w:customStyle="1" w:styleId="26">
    <w:name w:val="页脚 Char"/>
    <w:basedOn w:val="15"/>
    <w:link w:val="6"/>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26832</Words>
  <Characters>152944</Characters>
  <Lines>1274</Lines>
  <Paragraphs>358</Paragraphs>
  <TotalTime>6</TotalTime>
  <ScaleCrop>false</ScaleCrop>
  <LinksUpToDate>false</LinksUpToDate>
  <CharactersWithSpaces>179418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2024-02-01T23:09:00Z</dcterms:created>
  <dc:creator>zhaoj_9mn0uk2</dc:creator>
  <cp:lastModifiedBy>kylin</cp:lastModifiedBy>
  <dcterms:modified xsi:type="dcterms:W3CDTF">2024-02-21T10:34:33Z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15347B2FC3E4432FA40EF0F8AB04A8A5_13</vt:lpwstr>
  </property>
</Properties>
</file>