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2A316"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附表2</w:t>
      </w:r>
      <w:bookmarkStart w:id="0" w:name="_GoBack"/>
      <w:bookmarkEnd w:id="0"/>
    </w:p>
    <w:p w14:paraId="2488AB2F">
      <w:pPr>
        <w:pStyle w:val="2"/>
        <w:widowControl/>
        <w:spacing w:before="0" w:beforeAutospacing="0" w:after="60" w:afterAutospacing="0" w:line="720" w:lineRule="atLeast"/>
        <w:jc w:val="center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天津博物馆</w:t>
      </w:r>
      <w:r>
        <w:rPr>
          <w:rFonts w:ascii="黑体" w:hAnsi="黑体" w:eastAsia="黑体" w:cs="黑体"/>
          <w:color w:val="auto"/>
          <w:sz w:val="28"/>
          <w:szCs w:val="28"/>
          <w:highlight w:val="none"/>
        </w:rPr>
        <w:t>研学资质申请表</w:t>
      </w:r>
    </w:p>
    <w:p w14:paraId="51CA344D">
      <w:pPr>
        <w:jc w:val="left"/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注：本资质授权期限为</w:t>
      </w:r>
      <w:r>
        <w:rPr>
          <w:rFonts w:hint="eastAsia" w:ascii="仿宋_GB2312" w:hAnsi="仿宋" w:eastAsia="仿宋_GB2312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>批准回复之日起两年。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139"/>
        <w:gridCol w:w="2029"/>
        <w:gridCol w:w="1899"/>
      </w:tblGrid>
      <w:tr w14:paraId="7D42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928F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16F2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50A20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64915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  <w:p w14:paraId="6662CA1B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及身份证号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3B86A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26B81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法人电话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A056C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B1C2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D28C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统一社会信用代码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FEB66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A2F5EC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注册资本金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E4F30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0637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B770A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注册起始时间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F8FB">
            <w:pPr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164A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0239D">
            <w:pPr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</w:p>
        </w:tc>
      </w:tr>
      <w:tr w14:paraId="2D2A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2A588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办公地址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0D00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2C98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B9D74E"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负责人姓名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140551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DA7DDD"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负责人电话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514225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64EF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654C60"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讲解展览</w:t>
            </w:r>
          </w:p>
          <w:p w14:paraId="5EB6E0B5">
            <w:pPr>
              <w:spacing w:line="276" w:lineRule="auto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（请填写展览名称）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6E96D44B">
            <w:pPr>
              <w:spacing w:line="48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基本陈列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专题展览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          </w:t>
            </w:r>
          </w:p>
        </w:tc>
      </w:tr>
      <w:tr w14:paraId="3799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F71E34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机构概况</w:t>
            </w:r>
          </w:p>
          <w:p w14:paraId="69B964BF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（不少于300字）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6CB7D3">
            <w:pPr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包括但不限于以下内容：</w:t>
            </w:r>
          </w:p>
          <w:p w14:paraId="02AC79BF">
            <w:pPr>
              <w:numPr>
                <w:ilvl w:val="0"/>
                <w:numId w:val="1"/>
              </w:numPr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公司简介</w:t>
            </w:r>
          </w:p>
          <w:p w14:paraId="34DFFBC8">
            <w:pPr>
              <w:numPr>
                <w:ilvl w:val="0"/>
                <w:numId w:val="1"/>
              </w:numPr>
              <w:spacing w:line="276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案例</w:t>
            </w:r>
          </w:p>
          <w:p w14:paraId="7DEDF442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650A0FB2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CF73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B994B9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天津博物馆</w:t>
            </w:r>
          </w:p>
          <w:p w14:paraId="73BB9965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60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C50D1D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43DB7BE9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1D7F2984"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 w14:paraId="208F2608">
            <w:pPr>
              <w:wordWrap w:val="0"/>
              <w:spacing w:line="276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 月    日</w:t>
            </w:r>
          </w:p>
        </w:tc>
      </w:tr>
    </w:tbl>
    <w:p w14:paraId="252F72D5">
      <w:pPr>
        <w:rPr>
          <w:rFonts w:ascii="仿宋_GB2312" w:hAnsi="仿宋" w:eastAsia="仿宋_GB2312"/>
          <w:color w:val="auto"/>
          <w:sz w:val="24"/>
          <w:highlight w:val="none"/>
        </w:rPr>
      </w:pPr>
    </w:p>
    <w:p w14:paraId="6C70DA14">
      <w:pPr>
        <w:jc w:val="left"/>
        <w:rPr>
          <w:rFonts w:ascii="仿宋_GB2312" w:hAnsi="仿宋" w:eastAsia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（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通过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条件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审核的申请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机构提交）填写说明</w:t>
      </w:r>
      <w:r>
        <w:rPr>
          <w:rFonts w:ascii="仿宋_GB2312" w:hAnsi="仿宋" w:eastAsia="仿宋_GB2312"/>
          <w:color w:val="auto"/>
          <w:sz w:val="21"/>
          <w:szCs w:val="21"/>
          <w:highlight w:val="none"/>
        </w:rPr>
        <w:t>：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此表须发至电子邮箱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tjmxjb@163.com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（请以贵机构名称全名为邮件标题），同时提交以下附件内容，未提交将视为无效报名。</w:t>
      </w:r>
    </w:p>
    <w:p w14:paraId="46985FDD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附件</w:t>
      </w:r>
      <w:r>
        <w:rPr>
          <w:rFonts w:ascii="仿宋_GB2312" w:hAnsi="仿宋" w:eastAsia="仿宋_GB2312"/>
          <w:color w:val="auto"/>
          <w:sz w:val="21"/>
          <w:szCs w:val="21"/>
          <w:highlight w:val="none"/>
          <w:lang w:eastAsia="zh-Hans"/>
        </w:rPr>
        <w:t>1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营业执照复印件</w:t>
      </w:r>
    </w:p>
    <w:p w14:paraId="627A8367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附件2：社会教育活动案例</w:t>
      </w:r>
    </w:p>
    <w:p w14:paraId="2F63756F">
      <w:pPr>
        <w:jc w:val="left"/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附件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.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开展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社会教育活动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涉及展厅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讲解词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可后续补充提交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）</w:t>
      </w:r>
    </w:p>
    <w:p w14:paraId="16F5853F">
      <w:pPr>
        <w:rPr>
          <w:rFonts w:hint="default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</w:p>
    <w:p w14:paraId="050FD325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开展活动当日须携带：</w:t>
      </w:r>
    </w:p>
    <w:p w14:paraId="0F49CFED">
      <w:pPr>
        <w:rPr>
          <w:rFonts w:hint="default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附件1：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加盖单位公章的介绍信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及当日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参与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活动全体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人员名单</w:t>
      </w:r>
    </w:p>
    <w:p w14:paraId="0C445FC4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附件</w:t>
      </w:r>
      <w:r>
        <w:rPr>
          <w:rFonts w:ascii="仿宋_GB2312" w:hAnsi="仿宋" w:eastAsia="仿宋_GB2312"/>
          <w:color w:val="auto"/>
          <w:sz w:val="21"/>
          <w:szCs w:val="21"/>
          <w:highlight w:val="none"/>
          <w:lang w:eastAsia="zh-Hans"/>
        </w:rPr>
        <w:t>2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.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当日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带队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教师人员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身份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信息</w:t>
      </w:r>
    </w:p>
    <w:p w14:paraId="4F01A75E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附件</w:t>
      </w:r>
      <w:r>
        <w:rPr>
          <w:rFonts w:ascii="仿宋_GB2312" w:hAnsi="仿宋" w:eastAsia="仿宋_GB2312"/>
          <w:color w:val="auto"/>
          <w:sz w:val="21"/>
          <w:szCs w:val="21"/>
          <w:highlight w:val="none"/>
          <w:lang w:eastAsia="zh-Hans"/>
        </w:rPr>
        <w:t>3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.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当日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社会教育活动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流程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活动涉及展厅仅限提交申请通过的展厅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）</w:t>
      </w:r>
    </w:p>
    <w:p w14:paraId="035B8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AA772"/>
    <w:multiLevelType w:val="singleLevel"/>
    <w:tmpl w:val="7BFAA7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0529"/>
    <w:rsid w:val="3E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2025-07-16T04:24:00Z</dcterms:created>
  <dc:creator>|╲\白緍紗灬</dc:creator>
  <cp:lastModifiedBy>|╲\白緍紗灬</cp:lastModifiedBy>
  <dcterms:modified xsi:type="dcterms:W3CDTF">2025-07-16T04:25:18Z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72B821038DE9426083C06585C56FB4CC_11</vt:lpwstr>
  </property>
  <property fmtid="{D5CDD505-2E9C-101B-9397-08002B2CF9AE}" pid="4" name="KSOTemplateDocerSaveRecord">
    <vt:lpwstr>eyJoZGlkIjoiZDMwYzMxOGQxMmU3YzEzZjQwNzI1ZmRmYThkMzZhZTYiLCJ1c2VySWQiOiIxOTY1NjM3MTcifQ==</vt:lpwstr>
  </property>
</Properties>
</file>