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ind w:left="0" w:leftChars="0" w:firstLine="0" w:firstLineChars="0"/>
        <w:jc w:val="center"/>
        <w:rPr>
          <w:rFonts w:ascii="仿宋_GB2312" w:cs="宋体" w:eastAsia="仿宋_GB2312" w:hAnsi="Verdana" w:hint="eastAsia"/>
          <w:color w:val="000000"/>
          <w:kern w:val="0"/>
          <w:sz w:val="32"/>
          <w:lang w:eastAsia="zh-CN"/>
        </w:rPr>
      </w:pPr>
      <w:r>
        <w:rPr>
          <w:rFonts w:ascii="仿宋_GB2312" w:cs="宋体" w:eastAsia="仿宋_GB2312" w:hAnsi="Verdana" w:hint="eastAsia"/>
          <w:color w:val="000000"/>
          <w:kern w:val="0"/>
          <w:sz w:val="32"/>
          <w:lang w:eastAsia="zh-CN"/>
        </w:rPr>
        <w:t>“烟波繁华燃津城 璀璨星河转千帆”</w:t>
      </w:r>
    </w:p>
    <w:p>
      <w:pPr>
        <w:pStyle w:val="style0"/>
        <w:ind w:left="0" w:leftChars="0" w:firstLine="0" w:firstLineChars="0"/>
        <w:jc w:val="center"/>
        <w:rPr>
          <w:rFonts w:ascii="仿宋_GB2312" w:cs="宋体" w:eastAsia="仿宋_GB2312" w:hAnsi="Verdana" w:hint="eastAsia"/>
          <w:color w:val="000000"/>
          <w:kern w:val="0"/>
          <w:sz w:val="32"/>
          <w:lang w:eastAsia="zh-CN"/>
        </w:rPr>
      </w:pPr>
      <w:r>
        <w:rPr>
          <w:rFonts w:ascii="仿宋_GB2312" w:cs="宋体" w:eastAsia="仿宋_GB2312" w:hAnsi="Verdana" w:hint="eastAsia"/>
          <w:color w:val="000000"/>
          <w:kern w:val="0"/>
          <w:sz w:val="32"/>
          <w:lang w:eastAsia="zh-CN"/>
        </w:rPr>
        <w:t>第四届天津博物馆文创产品设计大赛</w:t>
      </w:r>
    </w:p>
    <w:p>
      <w:pPr>
        <w:pStyle w:val="style0"/>
        <w:ind w:firstLine="640" w:firstLineChars="200"/>
        <w:jc w:val="center"/>
        <w:rPr>
          <w:rFonts w:ascii="仿宋_GB2312" w:cs="宋体" w:eastAsia="仿宋_GB2312" w:hAnsi="Verdana" w:hint="eastAsia"/>
          <w:color w:val="000000"/>
          <w:kern w:val="0"/>
          <w:sz w:val="32"/>
          <w:lang w:eastAsia="zh-CN"/>
        </w:rPr>
      </w:pPr>
      <w:r>
        <w:rPr>
          <w:rFonts w:ascii="仿宋_GB2312" w:cs="宋体" w:eastAsia="仿宋_GB2312" w:hAnsi="Verdana" w:hint="eastAsia"/>
          <w:color w:val="000000"/>
          <w:kern w:val="0"/>
          <w:sz w:val="32"/>
          <w:lang w:eastAsia="zh-CN"/>
        </w:rPr>
        <w:t>策划及通知方案</w:t>
      </w:r>
    </w:p>
    <w:p>
      <w:pPr>
        <w:pStyle w:val="style0"/>
        <w:ind w:firstLine="640" w:firstLineChars="200"/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</w:pPr>
      <w:r>
        <w:rPr>
          <w:rFonts w:ascii="仿宋_GB2312" w:cs="宋体" w:eastAsia="仿宋_GB2312" w:hAnsi="Verdana" w:hint="eastAsia"/>
          <w:color w:val="000000"/>
          <w:kern w:val="0"/>
          <w:sz w:val="32"/>
          <w:lang w:eastAsia="zh-CN"/>
        </w:rPr>
        <w:t>为深入学习贯彻党的二十大和市第十二次党代会精神，聚焦聚力市委、市政府“十项行动”，以更丰富的文化视野展示中华文化的脉络，推动文旅商产业高质量发展，天津博物馆文创部预备于</w:t>
      </w:r>
      <w:r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  <w:t>2023年4月1</w:t>
      </w:r>
      <w:r>
        <w:rPr>
          <w:rFonts w:ascii="仿宋_GB2312" w:cs="宋体" w:eastAsia="仿宋_GB2312" w:hAnsi="Verdana" w:hint="default"/>
          <w:color w:val="000000"/>
          <w:kern w:val="0"/>
          <w:sz w:val="32"/>
          <w:lang w:val="en-US" w:eastAsia="zh-CN"/>
        </w:rPr>
        <w:t>7</w:t>
      </w:r>
      <w:r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  <w:t>日举办“第四届天津博物馆文创产品设计大赛”。</w:t>
      </w:r>
    </w:p>
    <w:p>
      <w:pPr>
        <w:pStyle w:val="style0"/>
        <w:ind w:left="0" w:leftChars="0" w:firstLine="0" w:firstLineChars="0"/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</w:pPr>
      <w:r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  <w:t>一、大赛主题</w:t>
      </w:r>
    </w:p>
    <w:p>
      <w:pPr>
        <w:pStyle w:val="style0"/>
        <w:ind w:left="0" w:leftChars="0" w:firstLine="640" w:firstLineChars="200"/>
        <w:jc w:val="left"/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</w:pPr>
      <w:r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  <w:t>“</w:t>
      </w:r>
      <w:r>
        <w:rPr>
          <w:rFonts w:ascii="仿宋_GB2312" w:cs="宋体" w:eastAsia="仿宋_GB2312" w:hAnsi="Verdana" w:hint="eastAsia"/>
          <w:color w:val="000000"/>
          <w:kern w:val="0"/>
          <w:sz w:val="32"/>
          <w:lang w:eastAsia="zh-CN"/>
        </w:rPr>
        <w:t>烟波繁华燃津城 璀璨星河转千帆</w:t>
      </w:r>
      <w:r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  <w:t>”</w:t>
      </w:r>
    </w:p>
    <w:p>
      <w:pPr>
        <w:pStyle w:val="style0"/>
        <w:numPr>
          <w:ilvl w:val="0"/>
          <w:numId w:val="0"/>
        </w:numPr>
        <w:ind w:leftChars="0"/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</w:pPr>
      <w:r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  <w:t>二、大赛宗旨</w:t>
      </w:r>
    </w:p>
    <w:p>
      <w:pPr>
        <w:pStyle w:val="style0"/>
        <w:numPr>
          <w:ilvl w:val="0"/>
          <w:numId w:val="0"/>
        </w:numPr>
        <w:ind w:leftChars="0"/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</w:pPr>
      <w:r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  <w:t xml:space="preserve">    本届文创产品设计大赛旨在深入挖掘天津这座文化交融的海滨城市，传承传统文化、发扬文化自信，立足博物馆丰富的馆藏资源，打造有温度、有味道且独具天津特色的天津伴手礼，增强文创产品的创意性、文化性和实用性，用文化之魂提升城市发展品质，更好的为广大消费者服务。</w:t>
      </w:r>
    </w:p>
    <w:p>
      <w:pPr>
        <w:pStyle w:val="style0"/>
        <w:ind w:left="0" w:leftChars="0" w:firstLine="0" w:firstLineChars="0"/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</w:pPr>
      <w:r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  <w:t>三、组织单位</w:t>
      </w:r>
    </w:p>
    <w:p>
      <w:pPr>
        <w:pStyle w:val="style0"/>
        <w:numPr>
          <w:ilvl w:val="0"/>
          <w:numId w:val="0"/>
        </w:numPr>
        <w:ind w:leftChars="0"/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</w:pPr>
      <w:r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  <w:t xml:space="preserve">    主办单位：天津博物馆 天津美术学院</w:t>
      </w:r>
    </w:p>
    <w:p>
      <w:pPr>
        <w:pStyle w:val="style0"/>
        <w:numPr>
          <w:ilvl w:val="0"/>
          <w:numId w:val="0"/>
        </w:numPr>
        <w:ind w:leftChars="0"/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</w:pPr>
      <w:r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  <w:t xml:space="preserve">    承办单位：天津艺酷文化传播有限公</w:t>
      </w:r>
      <w:bookmarkStart w:id="0" w:name="_GoBack"/>
      <w:bookmarkEnd w:id="0"/>
      <w:r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  <w:t>司</w:t>
      </w:r>
    </w:p>
    <w:p>
      <w:pPr>
        <w:pStyle w:val="style0"/>
        <w:ind w:left="0" w:leftChars="0" w:firstLine="0" w:firstLineChars="0"/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</w:pPr>
      <w:r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  <w:t>四、大赛安排</w:t>
      </w:r>
    </w:p>
    <w:p>
      <w:pPr>
        <w:pStyle w:val="style0"/>
        <w:ind w:left="0" w:leftChars="0" w:firstLine="0" w:firstLineChars="0"/>
        <w:rPr>
          <w:rFonts w:ascii="仿宋_GB2312" w:cs="仿宋_GB2312" w:eastAsia="仿宋_GB2312" w:hAnsi="仿宋_GB2312" w:hint="eastAsia"/>
          <w:color w:val="000000"/>
          <w:sz w:val="30"/>
          <w:szCs w:val="30"/>
        </w:rPr>
      </w:pPr>
      <w:r>
        <w:rPr>
          <w:rFonts w:ascii="仿宋_GB2312" w:cs="仿宋_GB2312" w:eastAsia="仿宋_GB2312" w:hAnsi="仿宋_GB2312" w:hint="eastAsia"/>
          <w:color w:val="000000"/>
          <w:sz w:val="30"/>
          <w:szCs w:val="30"/>
          <w:lang w:eastAsia="zh-CN"/>
        </w:rPr>
        <w:t xml:space="preserve">    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大赛将举行初评、终评两场评审会，5月上旬市民可通过天津博物馆官方微信平台为“我所喜爱的设计作品”进行线上投票，同时组委会将邀请专家组对所有展示作品进行初评，通过初评的优秀作品入围决赛并进行网络公示。6月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  <w:lang w:eastAsia="zh-CN"/>
        </w:rPr>
        <w:t>上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旬，组委会将邀请专家组对入围决赛作品进行终评，终评作品需以实物打样为准。评选出金、银、铜等奖项，202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  <w:lang w:eastAsia="zh-CN"/>
        </w:rPr>
        <w:t>3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年6月30日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  <w:lang w:eastAsia="zh-CN"/>
        </w:rPr>
        <w:t>（周五）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在天津博物馆四楼文创空间开展，展览开幕当天举办颁奖典礼。</w:t>
      </w:r>
    </w:p>
    <w:p>
      <w:pPr>
        <w:pStyle w:val="style0"/>
        <w:ind w:left="0" w:leftChars="0" w:firstLine="0" w:firstLineChars="0"/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</w:pPr>
      <w:r>
        <w:rPr>
          <w:rFonts w:ascii="仿宋_GB2312" w:cs="仿宋_GB2312" w:eastAsia="仿宋_GB2312" w:hAnsi="仿宋_GB2312" w:hint="eastAsia"/>
          <w:color w:val="000000"/>
          <w:sz w:val="30"/>
          <w:szCs w:val="30"/>
          <w:lang w:eastAsia="zh-CN"/>
        </w:rPr>
        <w:t>（一）</w:t>
      </w:r>
      <w:r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  <w:t>时间安排</w:t>
      </w:r>
    </w:p>
    <w:p>
      <w:pPr>
        <w:pStyle w:val="style0"/>
        <w:spacing w:lineRule="exact" w:line="600"/>
        <w:ind w:firstLine="600" w:firstLineChars="200"/>
        <w:rPr>
          <w:rFonts w:ascii="仿宋_GB2312" w:cs="仿宋_GB2312" w:eastAsia="仿宋_GB2312" w:hAnsi="仿宋_GB2312"/>
          <w:color w:val="000000"/>
          <w:sz w:val="30"/>
          <w:szCs w:val="30"/>
        </w:rPr>
      </w:pP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初稿作品征集时间：202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  <w:lang w:eastAsia="zh-CN"/>
        </w:rPr>
        <w:t>3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年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  <w:lang w:eastAsia="zh-CN"/>
        </w:rPr>
        <w:t>4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月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  <w:lang w:eastAsia="zh-CN"/>
        </w:rPr>
        <w:t>1</w:t>
      </w:r>
      <w:r>
        <w:rPr>
          <w:rFonts w:ascii="仿宋_GB2312" w:cs="仿宋_GB2312" w:eastAsia="仿宋_GB2312" w:hAnsi="仿宋_GB2312" w:hint="default"/>
          <w:color w:val="000000"/>
          <w:sz w:val="30"/>
          <w:szCs w:val="30"/>
          <w:lang w:val="en-US" w:eastAsia="zh-CN"/>
        </w:rPr>
        <w:t>7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日至202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  <w:lang w:eastAsia="zh-CN"/>
        </w:rPr>
        <w:t>3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年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  <w:lang w:eastAsia="zh-CN"/>
        </w:rPr>
        <w:t>5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月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  <w:lang w:eastAsia="zh-CN"/>
        </w:rPr>
        <w:t>15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日</w:t>
      </w:r>
    </w:p>
    <w:p>
      <w:pPr>
        <w:pStyle w:val="style0"/>
        <w:spacing w:lineRule="exact" w:line="600"/>
        <w:ind w:firstLine="600" w:firstLineChars="200"/>
        <w:rPr>
          <w:rFonts w:ascii="仿宋_GB2312" w:cs="仿宋_GB2312" w:eastAsia="仿宋_GB2312" w:hAnsi="仿宋_GB2312"/>
          <w:color w:val="000000"/>
          <w:sz w:val="30"/>
          <w:szCs w:val="30"/>
        </w:rPr>
      </w:pP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设计作品初评时间：20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  <w:lang w:eastAsia="zh-CN"/>
        </w:rPr>
        <w:t>23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年5月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  <w:lang w:eastAsia="zh-CN"/>
        </w:rPr>
        <w:t>19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日</w:t>
      </w:r>
    </w:p>
    <w:p>
      <w:pPr>
        <w:pStyle w:val="style0"/>
        <w:spacing w:lineRule="exact" w:line="600"/>
        <w:ind w:firstLine="600" w:firstLineChars="200"/>
        <w:rPr>
          <w:rFonts w:ascii="仿宋_GB2312" w:cs="仿宋_GB2312" w:eastAsia="仿宋_GB2312" w:hAnsi="仿宋_GB2312"/>
          <w:color w:val="000000"/>
          <w:sz w:val="30"/>
          <w:szCs w:val="30"/>
        </w:rPr>
      </w:pP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设计作品终评时间：202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  <w:lang w:eastAsia="zh-CN"/>
        </w:rPr>
        <w:t>3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年6月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  <w:lang w:val="en-US" w:eastAsia="zh-CN"/>
        </w:rPr>
        <w:t>18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日（寄送实物产品或样品）</w:t>
      </w:r>
    </w:p>
    <w:p>
      <w:pPr>
        <w:pStyle w:val="style0"/>
        <w:ind w:left="0" w:leftChars="0" w:firstLine="0" w:firstLineChars="0"/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</w:pPr>
      <w:r>
        <w:rPr>
          <w:rFonts w:ascii="仿宋_GB2312" w:cs="仿宋_GB2312" w:eastAsia="仿宋_GB2312" w:hAnsi="仿宋_GB2312" w:hint="eastAsia"/>
          <w:color w:val="000000"/>
          <w:sz w:val="30"/>
          <w:szCs w:val="30"/>
          <w:lang w:eastAsia="zh-CN"/>
        </w:rPr>
        <w:t xml:space="preserve">    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获奖作品展览时间：202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  <w:lang w:eastAsia="zh-CN"/>
        </w:rPr>
        <w:t>3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年6月30日</w:t>
      </w:r>
    </w:p>
    <w:p>
      <w:pPr>
        <w:pStyle w:val="style0"/>
        <w:ind w:left="0" w:leftChars="0" w:firstLine="0" w:firstLineChars="0"/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</w:pPr>
      <w:r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  <w:t>（二）参赛对象</w:t>
      </w:r>
    </w:p>
    <w:p>
      <w:pPr>
        <w:pStyle w:val="style0"/>
        <w:ind w:left="0" w:leftChars="0" w:firstLine="0" w:firstLineChars="0"/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</w:pPr>
      <w:r>
        <w:rPr>
          <w:rFonts w:ascii="仿宋_GB2312" w:cs="仿宋_GB2312" w:eastAsia="仿宋_GB2312" w:hAnsi="仿宋_GB2312" w:hint="eastAsia"/>
          <w:color w:val="000000"/>
          <w:sz w:val="30"/>
          <w:szCs w:val="30"/>
          <w:lang w:eastAsia="zh-CN"/>
        </w:rPr>
        <w:t xml:space="preserve">    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全</w:t>
      </w:r>
      <w:r>
        <w:rPr>
          <w:rFonts w:ascii="仿宋_GB2312" w:cs="仿宋_GB2312" w:eastAsia="仿宋_GB2312" w:hAnsi="仿宋_GB2312" w:hint="default"/>
          <w:color w:val="000000"/>
          <w:sz w:val="30"/>
          <w:szCs w:val="30"/>
          <w:lang w:val="en-US"/>
        </w:rPr>
        <w:t>国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各高校相关专业的在校大学生、研究生、教师，跨校跨专业组队联合参赛。全</w:t>
      </w:r>
      <w:r>
        <w:rPr>
          <w:rFonts w:ascii="仿宋_GB2312" w:cs="仿宋_GB2312" w:eastAsia="仿宋_GB2312" w:hAnsi="仿宋_GB2312" w:hint="default"/>
          <w:color w:val="000000"/>
          <w:sz w:val="30"/>
          <w:szCs w:val="30"/>
          <w:lang w:val="en-US"/>
        </w:rPr>
        <w:t>国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文化创意设计公司或团队、手工非遗传承人、热爱创意创作的社会各界人士参赛。</w:t>
      </w:r>
    </w:p>
    <w:p>
      <w:pPr>
        <w:pStyle w:val="style0"/>
        <w:ind w:left="0" w:leftChars="0" w:firstLine="0" w:firstLineChars="0"/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</w:pPr>
      <w:r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  <w:t>（三）选题方向</w:t>
      </w:r>
    </w:p>
    <w:p>
      <w:pPr>
        <w:pStyle w:val="style0"/>
        <w:spacing w:lineRule="exact" w:line="600"/>
        <w:ind w:firstLine="600" w:firstLineChars="200"/>
        <w:rPr>
          <w:rFonts w:ascii="仿宋_GB2312" w:cs="仿宋_GB2312" w:eastAsia="仿宋_GB2312" w:hAnsi="仿宋_GB2312"/>
          <w:color w:val="000000"/>
          <w:sz w:val="30"/>
          <w:szCs w:val="30"/>
        </w:rPr>
      </w:pP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天津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  <w:lang w:eastAsia="zh-CN"/>
        </w:rPr>
        <w:t>地处海滨，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是一座蕴含着丰富的历史遗迹和珍贵的文物资料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  <w:lang w:eastAsia="zh-CN"/>
        </w:rPr>
        <w:t>的城市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，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  <w:lang w:eastAsia="zh-CN"/>
        </w:rPr>
        <w:t>自古因漕运而兴起，也是中国古代唯一有确切建城时间记录的城市，这里有着众多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标志性建筑，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  <w:lang w:eastAsia="zh-CN"/>
        </w:rPr>
        <w:t>更是中国北方对外开放的门户，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这些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  <w:lang w:eastAsia="zh-CN"/>
        </w:rPr>
        <w:t>优秀的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文化资源和历史文化遗产中蕴含了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  <w:lang w:eastAsia="zh-CN"/>
        </w:rPr>
        <w:t>丰富的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文化核心要素和艺术创作灵感。</w:t>
      </w:r>
    </w:p>
    <w:p>
      <w:pPr>
        <w:pStyle w:val="style0"/>
        <w:ind w:left="0" w:leftChars="0" w:firstLine="0" w:firstLineChars="0"/>
        <w:rPr>
          <w:rFonts w:ascii="仿宋_GB2312" w:cs="仿宋_GB2312" w:eastAsia="仿宋_GB2312" w:hAnsi="仿宋_GB2312" w:hint="eastAsia"/>
          <w:color w:val="000000"/>
          <w:sz w:val="30"/>
          <w:szCs w:val="30"/>
          <w:lang w:val="en-US" w:eastAsia="zh-CN"/>
        </w:rPr>
      </w:pPr>
      <w:r>
        <w:rPr>
          <w:rFonts w:ascii="仿宋_GB2312" w:cs="仿宋_GB2312" w:eastAsia="仿宋_GB2312" w:hAnsi="仿宋_GB2312" w:hint="eastAsia"/>
          <w:color w:val="000000"/>
          <w:sz w:val="30"/>
          <w:szCs w:val="30"/>
          <w:lang w:eastAsia="zh-CN"/>
        </w:rPr>
        <w:t xml:space="preserve">    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依托天津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  <w:lang w:eastAsia="zh-CN"/>
        </w:rPr>
        <w:t>丰厚的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文化资源，以及天津博物馆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  <w:lang w:eastAsia="zh-CN"/>
        </w:rPr>
        <w:t>馆藏历史文物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，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  <w:lang w:eastAsia="zh-CN"/>
        </w:rPr>
        <w:t>大运河文化元素等，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设计制作旅游纪念品、工艺美术品、生活创意品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  <w:lang w:eastAsia="zh-CN"/>
        </w:rPr>
        <w:t>、特色餐饮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等，突出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  <w:lang w:eastAsia="zh-CN"/>
        </w:rPr>
        <w:t>体现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天津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  <w:lang w:eastAsia="zh-CN"/>
        </w:rPr>
        <w:t>深厚的文化积淀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，彰显文化内涵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  <w:lang w:eastAsia="zh-CN"/>
        </w:rPr>
        <w:t>的同时打造独具魅力的天津伴手礼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。旅游纪念品要求是精巧便携、富有地域文化特色的旅游纪念商品；生活创意品要求富有地域文化特色的文具、服饰、饰品、玩具、家居用品、办公用品等生活类产品。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  <w:lang w:eastAsia="zh-CN"/>
        </w:rPr>
        <w:t>特色餐饮要求适合于博物馆特定场所打卡销售的创意美食、特色餐具、定制包装等，所有设计作品均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同时兼具制作投产时的美观性、实用性、便利性。</w:t>
      </w:r>
    </w:p>
    <w:p>
      <w:pPr>
        <w:pStyle w:val="style0"/>
        <w:ind w:left="0" w:leftChars="0" w:firstLine="0" w:firstLineChars="0"/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</w:pPr>
      <w:r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  <w:t>（四）征集方式</w:t>
      </w:r>
    </w:p>
    <w:p>
      <w:pPr>
        <w:pStyle w:val="style94"/>
        <w:widowControl/>
        <w:spacing w:before="0" w:beforeAutospacing="false" w:after="0" w:afterAutospacing="false" w:lineRule="exact" w:line="600"/>
        <w:ind w:firstLine="600" w:firstLineChars="200"/>
        <w:rPr>
          <w:rFonts w:ascii="仿宋_GB2312" w:cs="仿宋_GB2312" w:eastAsia="仿宋_GB2312" w:hAnsi="仿宋_GB2312"/>
          <w:color w:val="000000"/>
          <w:sz w:val="30"/>
          <w:szCs w:val="30"/>
        </w:rPr>
      </w:pP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可通过天津博物馆官网下载报名表。</w:t>
      </w:r>
    </w:p>
    <w:p>
      <w:pPr>
        <w:pStyle w:val="style0"/>
        <w:spacing w:lineRule="exact" w:line="600"/>
        <w:ind w:firstLine="600" w:firstLineChars="200"/>
        <w:rPr>
          <w:rFonts w:ascii="仿宋_GB2312" w:cs="仿宋_GB2312" w:eastAsia="仿宋_GB2312" w:hAnsi="仿宋_GB2312"/>
          <w:color w:val="000000"/>
          <w:sz w:val="30"/>
          <w:szCs w:val="30"/>
        </w:rPr>
      </w:pP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登录天津博物馆官方网站http://www.tjbwg.com、天津博物馆官方微信、微博点击下载“文创产品设计大赛”报名表（以下简称《报名表》）填写时不能缺项、漏项。</w:t>
      </w:r>
    </w:p>
    <w:p>
      <w:pPr>
        <w:pStyle w:val="style0"/>
        <w:ind w:left="0" w:leftChars="0" w:firstLine="0" w:firstLineChars="0"/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</w:pPr>
      <w:r>
        <w:rPr>
          <w:rFonts w:ascii="仿宋_GB2312" w:cs="仿宋_GB2312" w:eastAsia="仿宋_GB2312" w:hAnsi="仿宋_GB2312" w:hint="eastAsia"/>
          <w:color w:val="000000"/>
          <w:kern w:val="0"/>
          <w:sz w:val="30"/>
          <w:szCs w:val="30"/>
          <w:lang w:eastAsia="zh-CN"/>
        </w:rPr>
        <w:t xml:space="preserve">    </w:t>
      </w:r>
      <w:r>
        <w:rPr>
          <w:rFonts w:ascii="仿宋_GB2312" w:cs="仿宋_GB2312" w:eastAsia="仿宋_GB2312" w:hAnsi="仿宋_GB2312" w:hint="eastAsia"/>
          <w:color w:val="000000"/>
          <w:kern w:val="0"/>
          <w:sz w:val="30"/>
          <w:szCs w:val="30"/>
        </w:rPr>
        <w:t>截止时间：202</w:t>
      </w:r>
      <w:r>
        <w:rPr>
          <w:rFonts w:ascii="仿宋_GB2312" w:cs="仿宋_GB2312" w:eastAsia="仿宋_GB2312" w:hAnsi="仿宋_GB2312" w:hint="eastAsia"/>
          <w:color w:val="000000"/>
          <w:kern w:val="0"/>
          <w:sz w:val="30"/>
          <w:szCs w:val="30"/>
          <w:lang w:eastAsia="zh-CN"/>
        </w:rPr>
        <w:t>3</w:t>
      </w:r>
      <w:r>
        <w:rPr>
          <w:rFonts w:ascii="仿宋_GB2312" w:cs="仿宋_GB2312" w:eastAsia="仿宋_GB2312" w:hAnsi="仿宋_GB2312" w:hint="eastAsia"/>
          <w:color w:val="000000"/>
          <w:kern w:val="0"/>
          <w:sz w:val="30"/>
          <w:szCs w:val="30"/>
        </w:rPr>
        <w:t>年</w:t>
      </w:r>
      <w:r>
        <w:rPr>
          <w:rFonts w:ascii="仿宋_GB2312" w:cs="仿宋_GB2312" w:eastAsia="仿宋_GB2312" w:hAnsi="仿宋_GB2312" w:hint="eastAsia"/>
          <w:color w:val="000000"/>
          <w:kern w:val="0"/>
          <w:sz w:val="30"/>
          <w:szCs w:val="30"/>
          <w:lang w:eastAsia="zh-CN"/>
        </w:rPr>
        <w:t>5</w:t>
      </w:r>
      <w:r>
        <w:rPr>
          <w:rFonts w:ascii="仿宋_GB2312" w:cs="仿宋_GB2312" w:eastAsia="仿宋_GB2312" w:hAnsi="仿宋_GB2312" w:hint="eastAsia"/>
          <w:color w:val="000000"/>
          <w:kern w:val="0"/>
          <w:sz w:val="30"/>
          <w:szCs w:val="30"/>
        </w:rPr>
        <w:t>月</w:t>
      </w:r>
      <w:r>
        <w:rPr>
          <w:rFonts w:ascii="仿宋_GB2312" w:cs="仿宋_GB2312" w:eastAsia="仿宋_GB2312" w:hAnsi="仿宋_GB2312" w:hint="eastAsia"/>
          <w:color w:val="000000"/>
          <w:kern w:val="0"/>
          <w:sz w:val="30"/>
          <w:szCs w:val="30"/>
          <w:lang w:eastAsia="zh-CN"/>
        </w:rPr>
        <w:t>15</w:t>
      </w:r>
      <w:r>
        <w:rPr>
          <w:rFonts w:ascii="仿宋_GB2312" w:cs="仿宋_GB2312" w:eastAsia="仿宋_GB2312" w:hAnsi="仿宋_GB2312" w:hint="eastAsia"/>
          <w:color w:val="000000"/>
          <w:kern w:val="0"/>
          <w:sz w:val="30"/>
          <w:szCs w:val="30"/>
        </w:rPr>
        <w:t>日</w:t>
      </w:r>
    </w:p>
    <w:p>
      <w:pPr>
        <w:pStyle w:val="style0"/>
        <w:numPr>
          <w:ilvl w:val="0"/>
          <w:numId w:val="0"/>
        </w:numPr>
        <w:ind w:leftChars="0"/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</w:pPr>
      <w:r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  <w:t>（五）参赛要求</w:t>
      </w:r>
    </w:p>
    <w:p>
      <w:pPr>
        <w:pStyle w:val="style0"/>
        <w:spacing w:lineRule="exact" w:line="600"/>
        <w:ind w:firstLine="600" w:firstLineChars="200"/>
        <w:rPr>
          <w:rFonts w:ascii="仿宋_GB2312" w:cs="仿宋_GB2312" w:eastAsia="仿宋_GB2312" w:hAnsi="仿宋_GB2312" w:hint="eastAsia"/>
          <w:color w:val="000000"/>
          <w:sz w:val="30"/>
          <w:szCs w:val="30"/>
        </w:rPr>
      </w:pP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1.参赛作品应紧扣大赛主题，突出天津文化元素，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  <w:lang w:eastAsia="zh-CN"/>
        </w:rPr>
        <w:t>深挖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文化内涵，设计新颖，具有纪念意义。</w:t>
      </w:r>
    </w:p>
    <w:p>
      <w:pPr>
        <w:pStyle w:val="style0"/>
        <w:spacing w:lineRule="exact" w:line="600"/>
        <w:ind w:firstLine="600" w:firstLineChars="200"/>
        <w:rPr>
          <w:rFonts w:ascii="仿宋_GB2312" w:cs="仿宋_GB2312" w:eastAsia="仿宋_GB2312" w:hAnsi="仿宋_GB2312" w:hint="eastAsia"/>
          <w:color w:val="000000"/>
          <w:sz w:val="30"/>
          <w:szCs w:val="30"/>
        </w:rPr>
      </w:pP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2.作品创意独到、设计新颖，具有一定的时代文化内涵和良好的艺术品位及审美意趣。在创作与设计理念、用材用料、造型形态、工艺技术及应用设计上有所创新突破。</w:t>
      </w:r>
    </w:p>
    <w:p>
      <w:pPr>
        <w:pStyle w:val="style0"/>
        <w:spacing w:lineRule="exact" w:line="600"/>
        <w:ind w:firstLine="600" w:firstLineChars="200"/>
        <w:rPr>
          <w:rFonts w:ascii="仿宋_GB2312" w:cs="仿宋_GB2312" w:eastAsia="仿宋_GB2312" w:hAnsi="仿宋_GB2312" w:hint="eastAsia"/>
          <w:color w:val="000000"/>
          <w:sz w:val="30"/>
          <w:szCs w:val="30"/>
        </w:rPr>
      </w:pP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4.产品应考虑到后期市场推广，具有文旅市场开发价值，适合于博物馆、景区等渠道销售，能够满足实用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  <w:lang w:eastAsia="zh-CN"/>
        </w:rPr>
        <w:t>的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需求。</w:t>
      </w:r>
    </w:p>
    <w:p>
      <w:pPr>
        <w:pStyle w:val="style0"/>
        <w:spacing w:lineRule="exact" w:line="600"/>
        <w:ind w:firstLine="600" w:firstLineChars="200"/>
        <w:rPr>
          <w:rFonts w:ascii="仿宋_GB2312" w:cs="仿宋_GB2312" w:eastAsia="仿宋_GB2312" w:hAnsi="仿宋_GB2312" w:hint="eastAsia"/>
          <w:color w:val="000000"/>
          <w:sz w:val="30"/>
          <w:szCs w:val="30"/>
        </w:rPr>
      </w:pP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5.参赛作品必须为原创作品，创意独特，设计富有文化个性，投稿人不得抄袭他人作品；如存在抄袭他人作品或以其他形式侵犯他人知识产权等问题的作品，法律责任由投稿人自负，主办方有权取消其参赛资格，及追回已获的奖励。</w:t>
      </w:r>
    </w:p>
    <w:p>
      <w:pPr>
        <w:pStyle w:val="style0"/>
        <w:spacing w:lineRule="exact" w:line="600"/>
        <w:ind w:firstLine="600" w:firstLineChars="200"/>
        <w:rPr>
          <w:rFonts w:ascii="仿宋_GB2312" w:cs="仿宋_GB2312" w:eastAsia="仿宋_GB2312" w:hAnsi="仿宋_GB2312" w:hint="eastAsia"/>
          <w:color w:val="000000"/>
          <w:sz w:val="30"/>
          <w:szCs w:val="30"/>
        </w:rPr>
      </w:pP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6.作品表现形式不限，初评参赛作品需提交电子版文件一套，其中包括：报名表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  <w:lang w:eastAsia="zh-CN"/>
        </w:rPr>
        <w:t>、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效果图、必要的结构图、基本外观尺寸图、200字以内设计说明等。作品设计图案电子版为jpg格式，设计精度应在300dpi以上；图片版面大小为A3（297mm×420mm）图幅，横构图；图片数量不超过5张，单张图片大小不超过10M。</w:t>
      </w:r>
    </w:p>
    <w:p>
      <w:pPr>
        <w:pStyle w:val="style0"/>
        <w:spacing w:lineRule="exact" w:line="600"/>
        <w:ind w:firstLine="600" w:firstLineChars="200"/>
        <w:rPr>
          <w:rFonts w:ascii="仿宋_GB2312" w:cs="仿宋_GB2312" w:eastAsia="仿宋_GB2312" w:hAnsi="仿宋_GB2312" w:hint="eastAsia"/>
          <w:color w:val="000000"/>
          <w:sz w:val="30"/>
          <w:szCs w:val="30"/>
        </w:rPr>
      </w:pP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7.电子版文件发送到组委会官方邮箱:tjbwgwcb@163.com</w:t>
      </w:r>
    </w:p>
    <w:p>
      <w:pPr>
        <w:pStyle w:val="style0"/>
        <w:spacing w:lineRule="exact" w:line="600"/>
        <w:ind w:firstLine="600" w:firstLineChars="200"/>
        <w:rPr>
          <w:rFonts w:ascii="仿宋_GB2312" w:cs="仿宋_GB2312" w:eastAsia="仿宋_GB2312" w:hAnsi="仿宋_GB2312" w:hint="eastAsia"/>
          <w:color w:val="000000"/>
          <w:sz w:val="30"/>
          <w:szCs w:val="30"/>
        </w:rPr>
      </w:pP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8.投稿须备齐报送资料，资料不齐或相关信息填写不全，将被取消参赛资格；参赛作品及相关材料一律不退，并应配合参加组委会的展示及有关宣传推广活动，如发布获奖作品信息、展览展示、出版刊物等。</w:t>
      </w:r>
    </w:p>
    <w:p>
      <w:pPr>
        <w:pStyle w:val="style0"/>
        <w:spacing w:lineRule="exact" w:line="600"/>
        <w:ind w:firstLine="600" w:firstLineChars="200"/>
        <w:rPr>
          <w:rFonts w:ascii="仿宋_GB2312" w:cs="仿宋_GB2312" w:eastAsia="仿宋_GB2312" w:hAnsi="仿宋_GB2312" w:hint="eastAsia"/>
          <w:color w:val="000000"/>
          <w:sz w:val="30"/>
          <w:szCs w:val="30"/>
        </w:rPr>
      </w:pP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9.参赛作品版权相关附属权利均为作者所有，组委会在非商业、非盈利的范围内，享有免费使用、复制、散发及全部和部分修改权利，主办方对于获得金奖、银奖、铜奖、优秀奖的参赛作品享有优先开发权。</w:t>
      </w:r>
    </w:p>
    <w:p>
      <w:pPr>
        <w:pStyle w:val="style0"/>
        <w:spacing w:lineRule="exact" w:line="600"/>
        <w:ind w:firstLine="600" w:firstLineChars="200"/>
        <w:rPr>
          <w:rFonts w:ascii="仿宋_GB2312" w:cs="仿宋_GB2312" w:eastAsia="仿宋_GB2312" w:hAnsi="仿宋_GB2312" w:hint="eastAsia"/>
          <w:color w:val="000000"/>
          <w:sz w:val="30"/>
          <w:szCs w:val="30"/>
        </w:rPr>
      </w:pP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10.接到通过作品初评的通知后需在6月1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  <w:lang w:eastAsia="zh-CN"/>
        </w:rPr>
        <w:t>5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日前将打样实物寄送到组委会，参加最终评审，以邮戳时间为准，逾期将视为放弃比赛。</w:t>
      </w:r>
    </w:p>
    <w:p>
      <w:pPr>
        <w:pStyle w:val="style0"/>
        <w:spacing w:lineRule="exact" w:line="600"/>
        <w:ind w:firstLine="600" w:firstLineChars="200"/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</w:pPr>
      <w:r>
        <w:rPr>
          <w:rFonts w:ascii="仿宋_GB2312" w:cs="仿宋_GB2312" w:eastAsia="仿宋_GB2312" w:hAnsi="仿宋_GB2312" w:hint="eastAsia"/>
          <w:color w:val="000000"/>
          <w:sz w:val="30"/>
          <w:szCs w:val="30"/>
          <w:lang w:eastAsia="zh-CN"/>
        </w:rPr>
        <w:t>11.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参赛作品邮寄地址：天津市河西区平江道62号天津博物馆文创部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  <w:lang w:eastAsia="zh-CN"/>
        </w:rPr>
        <w:t xml:space="preserve"> 张老师 13821485693</w:t>
      </w:r>
    </w:p>
    <w:p>
      <w:pPr>
        <w:pStyle w:val="style0"/>
        <w:numPr>
          <w:ilvl w:val="0"/>
          <w:numId w:val="0"/>
        </w:numPr>
        <w:ind w:leftChars="0"/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</w:pPr>
      <w:r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  <w:t>（六）集中评选</w:t>
      </w:r>
    </w:p>
    <w:p>
      <w:pPr>
        <w:pStyle w:val="style0"/>
        <w:numPr>
          <w:ilvl w:val="0"/>
          <w:numId w:val="0"/>
        </w:numPr>
        <w:ind w:leftChars="0"/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</w:pPr>
      <w:r>
        <w:rPr>
          <w:rFonts w:ascii="仿宋_GB2312" w:cs="仿宋_GB2312" w:eastAsia="仿宋_GB2312" w:hAnsi="仿宋_GB2312" w:hint="eastAsia"/>
          <w:color w:val="000000"/>
          <w:sz w:val="30"/>
          <w:szCs w:val="30"/>
          <w:lang w:eastAsia="zh-CN"/>
        </w:rPr>
        <w:t xml:space="preserve">    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征稿结束后，活动主办方将邀请思政教育专家、博物馆和艺术设计专家组成评委会，依据公平、公正、公开的原则，本着思想性、原创性、艺术性、实用性、可操作性四个方面对投稿作品进行评选，综合市民投票结果评出大赛奖项。</w:t>
      </w:r>
    </w:p>
    <w:p>
      <w:pPr>
        <w:pStyle w:val="style0"/>
        <w:ind w:left="0" w:leftChars="0" w:firstLine="0" w:firstLineChars="0"/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</w:pPr>
      <w:r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  <w:t>（七）成果展示</w:t>
      </w:r>
    </w:p>
    <w:p>
      <w:pPr>
        <w:pStyle w:val="style0"/>
        <w:ind w:left="0" w:leftChars="0" w:firstLine="0" w:firstLineChars="0"/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</w:pPr>
      <w:r>
        <w:rPr>
          <w:rFonts w:ascii="仿宋_GB2312" w:cs="仿宋_GB2312" w:eastAsia="仿宋_GB2312" w:hAnsi="仿宋_GB2312" w:hint="eastAsia"/>
          <w:color w:val="000000"/>
          <w:sz w:val="30"/>
          <w:szCs w:val="30"/>
          <w:lang w:eastAsia="zh-CN"/>
        </w:rPr>
        <w:t xml:space="preserve">    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获奖作品将于202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  <w:lang w:eastAsia="zh-CN"/>
        </w:rPr>
        <w:t>3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年6月30日开始在天津博物馆进行展览，并集结出版《天博文化产品创意设计大赛获奖作品图集》。</w:t>
      </w:r>
    </w:p>
    <w:p>
      <w:pPr>
        <w:pStyle w:val="style0"/>
        <w:ind w:left="0" w:leftChars="0" w:firstLine="0" w:firstLineChars="0"/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</w:pPr>
      <w:r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  <w:t>五、奖项设置</w:t>
      </w:r>
    </w:p>
    <w:p>
      <w:pPr>
        <w:pStyle w:val="style0"/>
        <w:spacing w:lineRule="exact" w:line="600"/>
        <w:ind w:firstLine="600" w:firstLineChars="200"/>
        <w:rPr>
          <w:rFonts w:ascii="仿宋_GB2312" w:cs="仿宋_GB2312" w:eastAsia="仿宋_GB2312" w:hAnsi="仿宋_GB2312"/>
          <w:color w:val="000000"/>
          <w:sz w:val="30"/>
          <w:szCs w:val="30"/>
        </w:rPr>
      </w:pP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金奖（2名）</w:t>
      </w:r>
    </w:p>
    <w:p>
      <w:pPr>
        <w:pStyle w:val="style0"/>
        <w:spacing w:lineRule="exact" w:line="600"/>
        <w:ind w:firstLine="600" w:firstLineChars="200"/>
        <w:rPr>
          <w:rFonts w:ascii="仿宋_GB2312" w:cs="仿宋_GB2312" w:eastAsia="仿宋_GB2312" w:hAnsi="仿宋_GB2312"/>
          <w:color w:val="000000"/>
          <w:sz w:val="30"/>
          <w:szCs w:val="30"/>
        </w:rPr>
      </w:pP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银奖（5名）</w:t>
      </w:r>
    </w:p>
    <w:p>
      <w:pPr>
        <w:pStyle w:val="style0"/>
        <w:spacing w:lineRule="exact" w:line="600"/>
        <w:ind w:firstLine="600" w:firstLineChars="200"/>
        <w:rPr>
          <w:rFonts w:ascii="仿宋_GB2312" w:cs="仿宋_GB2312" w:eastAsia="仿宋_GB2312" w:hAnsi="仿宋_GB2312"/>
          <w:color w:val="000000"/>
          <w:sz w:val="30"/>
          <w:szCs w:val="30"/>
        </w:rPr>
      </w:pP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铜奖（10名）</w:t>
      </w:r>
    </w:p>
    <w:p>
      <w:pPr>
        <w:pStyle w:val="style0"/>
        <w:ind w:left="0" w:leftChars="0" w:firstLine="0" w:firstLineChars="0"/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</w:pPr>
      <w:r>
        <w:rPr>
          <w:rFonts w:ascii="仿宋_GB2312" w:cs="仿宋_GB2312" w:eastAsia="仿宋_GB2312" w:hAnsi="仿宋_GB2312" w:hint="eastAsia"/>
          <w:color w:val="000000"/>
          <w:sz w:val="30"/>
          <w:szCs w:val="30"/>
          <w:lang w:eastAsia="zh-CN"/>
        </w:rPr>
        <w:t xml:space="preserve">    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</w:rPr>
        <w:t>优秀奖（30名</w:t>
      </w:r>
      <w:r>
        <w:rPr>
          <w:rFonts w:ascii="仿宋_GB2312" w:cs="仿宋_GB2312" w:eastAsia="仿宋_GB2312" w:hAnsi="仿宋_GB2312" w:hint="eastAsia"/>
          <w:color w:val="000000"/>
          <w:sz w:val="30"/>
          <w:szCs w:val="30"/>
          <w:lang w:eastAsia="zh-CN"/>
        </w:rPr>
        <w:t>）</w:t>
      </w:r>
    </w:p>
    <w:p>
      <w:pPr>
        <w:pStyle w:val="style0"/>
        <w:numPr>
          <w:ilvl w:val="0"/>
          <w:numId w:val="1"/>
        </w:numPr>
        <w:ind w:left="0" w:leftChars="0" w:firstLine="0" w:firstLineChars="0"/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</w:pPr>
      <w:r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  <w:t>本征集细则解释权属大赛组委会</w:t>
      </w:r>
    </w:p>
    <w:p>
      <w:pPr>
        <w:pStyle w:val="style0"/>
        <w:numPr>
          <w:ilvl w:val="0"/>
          <w:numId w:val="0"/>
        </w:numPr>
        <w:ind w:leftChars="0"/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</w:pPr>
    </w:p>
    <w:p>
      <w:pPr>
        <w:pStyle w:val="style0"/>
        <w:numPr>
          <w:ilvl w:val="0"/>
          <w:numId w:val="0"/>
        </w:numPr>
        <w:ind w:leftChars="0"/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</w:pPr>
    </w:p>
    <w:p>
      <w:pPr>
        <w:pStyle w:val="style0"/>
        <w:numPr>
          <w:ilvl w:val="0"/>
          <w:numId w:val="0"/>
        </w:numPr>
        <w:ind w:leftChars="0"/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</w:pPr>
    </w:p>
    <w:p>
      <w:pPr>
        <w:pStyle w:val="style0"/>
        <w:numPr>
          <w:ilvl w:val="0"/>
          <w:numId w:val="0"/>
        </w:numPr>
        <w:ind w:leftChars="0"/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</w:pPr>
    </w:p>
    <w:p>
      <w:pPr>
        <w:pStyle w:val="style0"/>
        <w:numPr>
          <w:ilvl w:val="0"/>
          <w:numId w:val="0"/>
        </w:numPr>
        <w:ind w:leftChars="0"/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</w:pPr>
    </w:p>
    <w:p>
      <w:pPr>
        <w:pStyle w:val="style0"/>
        <w:numPr>
          <w:ilvl w:val="0"/>
          <w:numId w:val="0"/>
        </w:numPr>
        <w:ind w:leftChars="0"/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</w:pPr>
    </w:p>
    <w:p>
      <w:pPr>
        <w:pStyle w:val="style0"/>
        <w:numPr>
          <w:ilvl w:val="0"/>
          <w:numId w:val="0"/>
        </w:numPr>
        <w:ind w:leftChars="0"/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</w:pPr>
    </w:p>
    <w:p>
      <w:pPr>
        <w:pStyle w:val="style0"/>
        <w:numPr>
          <w:ilvl w:val="0"/>
          <w:numId w:val="0"/>
        </w:numPr>
        <w:ind w:leftChars="0"/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</w:pPr>
    </w:p>
    <w:p>
      <w:pPr>
        <w:pStyle w:val="style0"/>
        <w:numPr>
          <w:ilvl w:val="0"/>
          <w:numId w:val="0"/>
        </w:numPr>
        <w:ind w:leftChars="0"/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</w:pPr>
    </w:p>
    <w:p>
      <w:pPr>
        <w:pStyle w:val="style0"/>
        <w:numPr>
          <w:ilvl w:val="0"/>
          <w:numId w:val="0"/>
        </w:numPr>
        <w:ind w:leftChars="0"/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</w:pPr>
    </w:p>
    <w:p>
      <w:pPr>
        <w:pStyle w:val="style0"/>
        <w:numPr>
          <w:ilvl w:val="0"/>
          <w:numId w:val="0"/>
        </w:numPr>
        <w:ind w:leftChars="0"/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</w:pPr>
    </w:p>
    <w:p>
      <w:pPr>
        <w:pStyle w:val="style0"/>
        <w:numPr>
          <w:ilvl w:val="0"/>
          <w:numId w:val="0"/>
        </w:numPr>
        <w:ind w:leftChars="0"/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</w:pPr>
    </w:p>
    <w:p>
      <w:pPr>
        <w:pStyle w:val="style0"/>
        <w:numPr>
          <w:ilvl w:val="0"/>
          <w:numId w:val="0"/>
        </w:numPr>
        <w:ind w:leftChars="0"/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</w:pPr>
    </w:p>
    <w:p>
      <w:pPr>
        <w:pStyle w:val="style0"/>
        <w:numPr>
          <w:ilvl w:val="0"/>
          <w:numId w:val="0"/>
        </w:numPr>
        <w:ind w:leftChars="0"/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</w:pPr>
    </w:p>
    <w:p>
      <w:pPr>
        <w:pStyle w:val="style0"/>
        <w:numPr>
          <w:ilvl w:val="0"/>
          <w:numId w:val="0"/>
        </w:numPr>
        <w:ind w:leftChars="0"/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</w:pPr>
    </w:p>
    <w:p>
      <w:pPr>
        <w:pStyle w:val="style0"/>
        <w:numPr>
          <w:ilvl w:val="0"/>
          <w:numId w:val="0"/>
        </w:numPr>
        <w:ind w:leftChars="0"/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</w:pPr>
    </w:p>
    <w:p>
      <w:pPr>
        <w:pStyle w:val="style0"/>
        <w:numPr>
          <w:ilvl w:val="0"/>
          <w:numId w:val="0"/>
        </w:numPr>
        <w:ind w:leftChars="0"/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</w:pPr>
    </w:p>
    <w:p>
      <w:pPr>
        <w:pStyle w:val="style0"/>
        <w:numPr>
          <w:ilvl w:val="0"/>
          <w:numId w:val="0"/>
        </w:numPr>
        <w:ind w:leftChars="0"/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</w:pPr>
      <w:r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  <w:t>附件：</w:t>
      </w:r>
    </w:p>
    <w:p>
      <w:pPr>
        <w:pStyle w:val="style0"/>
        <w:widowControl/>
        <w:jc w:val="center"/>
        <w:rPr>
          <w:rFonts w:ascii="宋体" w:cs="Calibri" w:eastAsia="宋体" w:hAnsi="宋体" w:hint="eastAsia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ascii="宋体" w:cs="Calibri" w:eastAsia="宋体" w:hAnsi="宋体" w:hint="eastAsia"/>
          <w:b/>
          <w:bCs/>
          <w:color w:val="000000"/>
          <w:kern w:val="0"/>
          <w:sz w:val="36"/>
          <w:szCs w:val="36"/>
          <w:lang w:eastAsia="zh-CN"/>
        </w:rPr>
        <w:t>“烟波繁华燃津城 璀璨星河转千帆”</w:t>
      </w:r>
    </w:p>
    <w:p>
      <w:pPr>
        <w:pStyle w:val="style0"/>
        <w:widowControl/>
        <w:jc w:val="center"/>
        <w:rPr>
          <w:rFonts w:ascii="Calibri" w:cs="Calibri" w:eastAsia="宋体" w:hAnsi="Calibri"/>
          <w:color w:val="000000"/>
          <w:kern w:val="0"/>
          <w:sz w:val="24"/>
          <w:szCs w:val="24"/>
        </w:rPr>
      </w:pPr>
      <w:r>
        <w:rPr>
          <w:rFonts w:ascii="宋体" w:cs="Calibri" w:eastAsia="宋体" w:hAnsi="宋体" w:hint="eastAsia"/>
          <w:b/>
          <w:bCs/>
          <w:color w:val="000000"/>
          <w:kern w:val="0"/>
          <w:sz w:val="36"/>
          <w:szCs w:val="36"/>
        </w:rPr>
        <w:t>第</w:t>
      </w:r>
      <w:r>
        <w:rPr>
          <w:rFonts w:ascii="宋体" w:cs="Calibri" w:eastAsia="宋体" w:hAnsi="宋体" w:hint="eastAsia"/>
          <w:b/>
          <w:bCs/>
          <w:color w:val="000000"/>
          <w:kern w:val="0"/>
          <w:sz w:val="36"/>
          <w:szCs w:val="36"/>
          <w:lang w:eastAsia="zh-CN"/>
        </w:rPr>
        <w:t>四</w:t>
      </w:r>
      <w:r>
        <w:rPr>
          <w:rFonts w:ascii="宋体" w:cs="Calibri" w:eastAsia="宋体" w:hAnsi="宋体" w:hint="eastAsia"/>
          <w:b/>
          <w:bCs/>
          <w:color w:val="000000"/>
          <w:kern w:val="0"/>
          <w:sz w:val="36"/>
          <w:szCs w:val="36"/>
        </w:rPr>
        <w:t>届天津博物馆文创产品设计大赛报名表</w:t>
      </w:r>
    </w:p>
    <w:p>
      <w:pPr>
        <w:pStyle w:val="style0"/>
        <w:widowControl/>
        <w:ind w:firstLine="6090"/>
        <w:jc w:val="center"/>
        <w:rPr>
          <w:rFonts w:ascii="Calibri" w:cs="Calibri" w:eastAsia="宋体" w:hAnsi="Calibri"/>
          <w:color w:val="000000"/>
          <w:kern w:val="0"/>
          <w:sz w:val="24"/>
          <w:szCs w:val="24"/>
        </w:rPr>
      </w:pPr>
      <w:r>
        <w:rPr>
          <w:rFonts w:ascii="Calibri" w:cs="Calibri" w:eastAsia="宋体" w:hAnsi="Calibri"/>
          <w:color w:val="000000"/>
          <w:kern w:val="0"/>
          <w:sz w:val="24"/>
          <w:szCs w:val="24"/>
        </w:rPr>
        <w:t> </w:t>
      </w:r>
    </w:p>
    <w:p>
      <w:pPr>
        <w:pStyle w:val="style0"/>
        <w:widowControl/>
        <w:ind w:firstLine="6090"/>
        <w:jc w:val="center"/>
        <w:rPr>
          <w:rFonts w:ascii="Calibri" w:cs="Calibri" w:eastAsia="宋体" w:hAnsi="Calibri"/>
          <w:color w:val="000000"/>
          <w:kern w:val="0"/>
          <w:sz w:val="24"/>
          <w:szCs w:val="24"/>
        </w:rPr>
      </w:pPr>
      <w:r>
        <w:rPr>
          <w:rFonts w:ascii="宋体" w:cs="Calibri" w:eastAsia="宋体" w:hAnsi="宋体" w:hint="eastAsia"/>
          <w:color w:val="000000"/>
          <w:kern w:val="0"/>
          <w:sz w:val="24"/>
          <w:szCs w:val="24"/>
        </w:rPr>
        <w:t>参赛编号：</w:t>
      </w:r>
    </w:p>
    <w:tbl>
      <w:tblPr>
        <w:tblStyle w:val="style105"/>
        <w:tblW w:w="979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5"/>
        <w:gridCol w:w="138"/>
        <w:gridCol w:w="604"/>
        <w:gridCol w:w="1362"/>
        <w:gridCol w:w="17"/>
        <w:gridCol w:w="1560"/>
        <w:gridCol w:w="1400"/>
        <w:gridCol w:w="1400"/>
        <w:gridCol w:w="1403"/>
      </w:tblGrid>
      <w:tr>
        <w:trPr/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widowControl/>
              <w:spacing w:lineRule="atLeast" w:line="480"/>
              <w:jc w:val="center"/>
              <w:rPr>
                <w:rFonts w:ascii="Calibri" w:cs="Calibri" w:eastAsia="宋体" w:hAnsi="Calibri"/>
                <w:kern w:val="0"/>
                <w:sz w:val="24"/>
                <w:szCs w:val="24"/>
              </w:rPr>
            </w:pPr>
            <w:r>
              <w:rPr>
                <w:rFonts w:ascii="宋体" w:cs="Calibri" w:eastAsia="宋体" w:hAnsi="宋体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78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widowControl/>
              <w:spacing w:lineRule="atLeast" w:line="480"/>
              <w:rPr>
                <w:rFonts w:ascii="Calibri" w:cs="Calibri" w:eastAsia="宋体" w:hAnsi="Calibri"/>
                <w:kern w:val="0"/>
                <w:sz w:val="24"/>
                <w:szCs w:val="24"/>
              </w:rPr>
            </w:pPr>
          </w:p>
        </w:tc>
      </w:tr>
      <w:tr>
        <w:tblPrEx/>
        <w:trPr/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widowControl/>
              <w:spacing w:lineRule="atLeast" w:line="480"/>
              <w:jc w:val="center"/>
              <w:rPr>
                <w:rFonts w:ascii="Calibri" w:cs="Calibri" w:eastAsia="宋体" w:hAnsi="Calibri"/>
                <w:kern w:val="0"/>
                <w:sz w:val="24"/>
                <w:szCs w:val="24"/>
              </w:rPr>
            </w:pPr>
            <w:r>
              <w:rPr>
                <w:rFonts w:ascii="宋体" w:cs="Calibri" w:eastAsia="宋体" w:hAnsi="宋体" w:hint="eastAsia"/>
                <w:kern w:val="0"/>
                <w:sz w:val="24"/>
                <w:szCs w:val="24"/>
              </w:rPr>
              <w:t>设计者姓名</w:t>
            </w:r>
          </w:p>
        </w:tc>
        <w:tc>
          <w:tcPr>
            <w:tcW w:w="21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widowControl/>
              <w:spacing w:lineRule="atLeast" w:line="480"/>
              <w:jc w:val="center"/>
              <w:rPr>
                <w:rFonts w:ascii="Calibri" w:cs="Calibri" w:eastAsia="宋体" w:hAnsi="Calibri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widowControl/>
              <w:spacing w:lineRule="atLeast" w:line="480"/>
              <w:jc w:val="center"/>
              <w:rPr>
                <w:rFonts w:ascii="Calibri" w:cs="Calibri" w:eastAsia="宋体" w:hAnsi="Calibri"/>
                <w:kern w:val="0"/>
                <w:sz w:val="24"/>
                <w:szCs w:val="24"/>
              </w:rPr>
            </w:pPr>
            <w:r>
              <w:rPr>
                <w:rFonts w:ascii="宋体" w:cs="Calibri" w:eastAsia="宋体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widowControl/>
              <w:spacing w:lineRule="atLeast" w:line="480"/>
              <w:jc w:val="center"/>
              <w:rPr>
                <w:rFonts w:ascii="Calibri" w:cs="Calibri" w:eastAsia="宋体" w:hAnsi="Calibri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widowControl/>
              <w:spacing w:lineRule="atLeast" w:line="480"/>
              <w:jc w:val="center"/>
              <w:rPr>
                <w:rFonts w:ascii="Calibri" w:cs="Calibri" w:eastAsia="宋体" w:hAnsi="Calibri"/>
                <w:kern w:val="0"/>
                <w:sz w:val="24"/>
                <w:szCs w:val="24"/>
              </w:rPr>
            </w:pPr>
            <w:r>
              <w:rPr>
                <w:rFonts w:ascii="宋体" w:cs="Calibri" w:eastAsia="宋体" w:hAnsi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widowControl/>
              <w:spacing w:lineRule="atLeast" w:line="480"/>
              <w:jc w:val="center"/>
              <w:rPr>
                <w:rFonts w:ascii="Calibri" w:cs="Calibri" w:eastAsia="宋体" w:hAnsi="Calibri"/>
                <w:kern w:val="0"/>
                <w:sz w:val="24"/>
                <w:szCs w:val="24"/>
              </w:rPr>
            </w:pPr>
          </w:p>
        </w:tc>
      </w:tr>
      <w:tr>
        <w:tblPrEx/>
        <w:trPr/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widowControl/>
              <w:spacing w:lineRule="atLeast" w:line="480"/>
              <w:jc w:val="center"/>
              <w:rPr>
                <w:rFonts w:ascii="Calibri" w:cs="Calibri" w:eastAsia="宋体" w:hAnsi="Calibri"/>
                <w:kern w:val="0"/>
                <w:sz w:val="24"/>
                <w:szCs w:val="24"/>
              </w:rPr>
            </w:pPr>
            <w:r>
              <w:rPr>
                <w:rFonts w:ascii="宋体" w:cs="Calibri" w:eastAsia="宋体" w:hAnsi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widowControl/>
              <w:spacing w:lineRule="atLeast" w:line="480"/>
              <w:jc w:val="center"/>
              <w:rPr>
                <w:rFonts w:ascii="Calibri" w:cs="Calibri" w:eastAsia="宋体" w:hAnsi="Calibri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widowControl/>
              <w:spacing w:lineRule="atLeast" w:line="480"/>
              <w:jc w:val="center"/>
              <w:rPr>
                <w:rFonts w:ascii="Calibri" w:cs="Calibri" w:eastAsia="宋体" w:hAnsi="Calibri"/>
                <w:kern w:val="0"/>
                <w:sz w:val="24"/>
                <w:szCs w:val="24"/>
              </w:rPr>
            </w:pPr>
            <w:r>
              <w:rPr>
                <w:rFonts w:ascii="宋体" w:cs="Calibri" w:eastAsia="宋体" w:hAnsi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widowControl/>
              <w:spacing w:lineRule="atLeast" w:line="480"/>
              <w:jc w:val="center"/>
              <w:rPr>
                <w:rFonts w:ascii="Calibri" w:cs="Calibri" w:eastAsia="宋体" w:hAnsi="Calibri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widowControl/>
              <w:spacing w:lineRule="atLeast" w:line="480"/>
              <w:jc w:val="center"/>
              <w:rPr>
                <w:rFonts w:ascii="Calibri" w:cs="Calibri" w:eastAsia="宋体" w:hAnsi="Calibri"/>
                <w:kern w:val="0"/>
                <w:sz w:val="24"/>
                <w:szCs w:val="24"/>
              </w:rPr>
            </w:pPr>
            <w:r>
              <w:rPr>
                <w:rFonts w:ascii="宋体" w:cs="Calibri" w:eastAsia="宋体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widowControl/>
              <w:spacing w:lineRule="atLeast" w:line="480"/>
              <w:jc w:val="center"/>
              <w:rPr>
                <w:rFonts w:ascii="Calibri" w:cs="Calibri" w:eastAsia="宋体" w:hAnsi="Calibri"/>
                <w:kern w:val="0"/>
                <w:sz w:val="24"/>
                <w:szCs w:val="24"/>
              </w:rPr>
            </w:pPr>
          </w:p>
        </w:tc>
      </w:tr>
      <w:tr>
        <w:tblPrEx/>
        <w:trPr/>
        <w:tc>
          <w:tcPr>
            <w:tcW w:w="26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widowControl/>
              <w:spacing w:lineRule="atLeast" w:line="480"/>
              <w:jc w:val="center"/>
              <w:rPr>
                <w:rFonts w:ascii="Calibri" w:cs="Calibri" w:eastAsia="宋体" w:hAnsi="Calibri"/>
                <w:kern w:val="0"/>
                <w:sz w:val="24"/>
                <w:szCs w:val="24"/>
              </w:rPr>
            </w:pPr>
            <w:r>
              <w:rPr>
                <w:rFonts w:ascii="宋体" w:cs="Calibri" w:eastAsia="宋体" w:hAnsi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71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widowControl/>
              <w:spacing w:lineRule="atLeast" w:line="480"/>
              <w:jc w:val="center"/>
              <w:rPr>
                <w:rFonts w:ascii="Calibri" w:cs="Calibri" w:eastAsia="宋体" w:hAnsi="Calibri"/>
                <w:kern w:val="0"/>
                <w:sz w:val="24"/>
                <w:szCs w:val="24"/>
              </w:rPr>
            </w:pPr>
          </w:p>
        </w:tc>
      </w:tr>
      <w:tr>
        <w:tblPrEx/>
        <w:trPr/>
        <w:tc>
          <w:tcPr>
            <w:tcW w:w="26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widowControl/>
              <w:spacing w:lineRule="atLeast" w:line="480"/>
              <w:jc w:val="center"/>
              <w:rPr>
                <w:rFonts w:ascii="Calibri" w:cs="Calibri" w:eastAsia="宋体" w:hAnsi="Calibri"/>
                <w:kern w:val="0"/>
                <w:sz w:val="24"/>
                <w:szCs w:val="24"/>
              </w:rPr>
            </w:pPr>
            <w:r>
              <w:rPr>
                <w:rFonts w:ascii="宋体" w:cs="Calibri" w:eastAsia="宋体" w:hAnsi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1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widowControl/>
              <w:spacing w:lineRule="atLeast" w:line="480"/>
              <w:jc w:val="center"/>
              <w:rPr>
                <w:rFonts w:ascii="Calibri" w:cs="Calibri" w:eastAsia="宋体" w:hAnsi="Calibri"/>
                <w:kern w:val="0"/>
                <w:sz w:val="24"/>
                <w:szCs w:val="24"/>
              </w:rPr>
            </w:pPr>
          </w:p>
        </w:tc>
      </w:tr>
      <w:tr>
        <w:tblPrEx/>
        <w:trPr/>
        <w:tc>
          <w:tcPr>
            <w:tcW w:w="26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widowControl/>
              <w:spacing w:lineRule="atLeast" w:line="480"/>
              <w:jc w:val="center"/>
              <w:rPr>
                <w:rFonts w:ascii="Calibri" w:cs="Calibri" w:eastAsia="宋体" w:hAnsi="Calibri"/>
                <w:kern w:val="0"/>
                <w:sz w:val="24"/>
                <w:szCs w:val="24"/>
              </w:rPr>
            </w:pPr>
            <w:r>
              <w:rPr>
                <w:rFonts w:ascii="宋体" w:cs="Calibri" w:eastAsia="宋体" w:hAnsi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71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widowControl/>
              <w:spacing w:lineRule="atLeast" w:line="480"/>
              <w:jc w:val="center"/>
              <w:rPr>
                <w:rFonts w:ascii="Calibri" w:cs="Calibri" w:eastAsia="宋体" w:hAnsi="Calibri"/>
                <w:kern w:val="0"/>
                <w:sz w:val="24"/>
                <w:szCs w:val="24"/>
              </w:rPr>
            </w:pPr>
          </w:p>
        </w:tc>
      </w:tr>
      <w:tr>
        <w:tblPrEx/>
        <w:trPr/>
        <w:tc>
          <w:tcPr>
            <w:tcW w:w="20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widowControl/>
              <w:spacing w:lineRule="atLeast" w:line="480"/>
              <w:jc w:val="center"/>
              <w:rPr>
                <w:rFonts w:ascii="Calibri" w:cs="Calibri" w:eastAsia="宋体" w:hAnsi="Calibri"/>
                <w:kern w:val="0"/>
                <w:sz w:val="24"/>
                <w:szCs w:val="24"/>
              </w:rPr>
            </w:pPr>
            <w:r>
              <w:rPr>
                <w:rFonts w:ascii="宋体" w:cs="Calibri" w:eastAsia="宋体" w:hAnsi="宋体" w:hint="eastAsia"/>
                <w:kern w:val="0"/>
                <w:sz w:val="24"/>
                <w:szCs w:val="24"/>
              </w:rPr>
              <w:t>证件类别</w:t>
            </w: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widowControl/>
              <w:spacing w:lineRule="atLeast" w:line="480"/>
              <w:jc w:val="center"/>
              <w:rPr>
                <w:rFonts w:ascii="Calibri" w:cs="Calibri" w:eastAsia="宋体" w:hAnsi="Calibri"/>
                <w:kern w:val="0"/>
                <w:sz w:val="24"/>
                <w:szCs w:val="24"/>
              </w:rPr>
            </w:pPr>
            <w:r>
              <w:rPr>
                <w:rFonts w:ascii="宋体" w:cs="Calibri" w:eastAsia="宋体" w:hAnsi="宋体" w:hint="eastAsia"/>
                <w:kern w:val="0"/>
                <w:sz w:val="24"/>
                <w:szCs w:val="24"/>
              </w:rPr>
              <w:t>居民身份证</w:t>
            </w: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widowControl/>
              <w:spacing w:lineRule="atLeast" w:line="480"/>
              <w:jc w:val="center"/>
              <w:rPr>
                <w:rFonts w:ascii="Calibri" w:cs="Calibri" w:eastAsia="宋体" w:hAnsi="Calibri"/>
                <w:kern w:val="0"/>
                <w:sz w:val="24"/>
                <w:szCs w:val="24"/>
              </w:rPr>
            </w:pPr>
            <w:r>
              <w:rPr>
                <w:rFonts w:ascii="宋体" w:cs="Calibri" w:eastAsia="宋体" w:hAnsi="宋体" w:hint="eastAsia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42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widowControl/>
              <w:spacing w:lineRule="atLeast" w:line="480"/>
              <w:jc w:val="center"/>
              <w:rPr>
                <w:rFonts w:ascii="Calibri" w:cs="Calibri" w:eastAsia="宋体" w:hAnsi="Calibri"/>
                <w:kern w:val="0"/>
                <w:sz w:val="24"/>
                <w:szCs w:val="24"/>
              </w:rPr>
            </w:pPr>
          </w:p>
        </w:tc>
      </w:tr>
      <w:tr>
        <w:tblPrEx/>
        <w:trPr/>
        <w:tc>
          <w:tcPr>
            <w:tcW w:w="20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widowControl/>
              <w:spacing w:lineRule="atLeast" w:line="1080"/>
              <w:jc w:val="center"/>
              <w:rPr>
                <w:rFonts w:ascii="Calibri" w:cs="Calibri" w:eastAsia="宋体" w:hAnsi="Calibri"/>
                <w:kern w:val="0"/>
                <w:sz w:val="24"/>
                <w:szCs w:val="24"/>
              </w:rPr>
            </w:pPr>
            <w:r>
              <w:rPr>
                <w:rFonts w:ascii="宋体" w:cs="Calibri" w:eastAsia="宋体" w:hAnsi="宋体" w:hint="eastAsia"/>
                <w:kern w:val="0"/>
                <w:sz w:val="24"/>
                <w:szCs w:val="24"/>
              </w:rPr>
              <w:t>作品简介</w:t>
            </w:r>
          </w:p>
          <w:p>
            <w:pPr>
              <w:pStyle w:val="style0"/>
              <w:widowControl/>
              <w:spacing w:lineRule="atLeast" w:line="1080"/>
              <w:jc w:val="center"/>
              <w:rPr>
                <w:rFonts w:ascii="Calibri" w:cs="Calibri" w:eastAsia="宋体" w:hAnsi="Calibri"/>
                <w:kern w:val="0"/>
                <w:sz w:val="24"/>
                <w:szCs w:val="24"/>
              </w:rPr>
            </w:pPr>
            <w:r>
              <w:rPr>
                <w:rFonts w:ascii="宋体" w:cs="Calibri" w:eastAsia="宋体" w:hAnsi="宋体" w:hint="eastAsia"/>
                <w:kern w:val="0"/>
                <w:sz w:val="24"/>
                <w:szCs w:val="24"/>
              </w:rPr>
              <w:t>（不超过</w:t>
            </w:r>
            <w:r>
              <w:rPr>
                <w:rFonts w:ascii="宋体" w:cs="Calibri" w:eastAsia="宋体" w:hAnsi="宋体" w:hint="eastAsia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宋体" w:cs="Calibri" w:eastAsia="宋体" w:hAnsi="宋体" w:hint="eastAsia"/>
                <w:kern w:val="0"/>
                <w:sz w:val="24"/>
                <w:szCs w:val="24"/>
              </w:rPr>
              <w:t>00字）</w:t>
            </w:r>
          </w:p>
        </w:tc>
        <w:tc>
          <w:tcPr>
            <w:tcW w:w="77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widowControl/>
              <w:spacing w:lineRule="atLeast" w:line="480"/>
              <w:jc w:val="left"/>
              <w:rPr>
                <w:rFonts w:ascii="宋体" w:cs="Calibri" w:eastAsia="宋体" w:hAnsi="宋体"/>
                <w:kern w:val="0"/>
                <w:sz w:val="24"/>
                <w:szCs w:val="24"/>
              </w:rPr>
            </w:pPr>
          </w:p>
          <w:p>
            <w:pPr>
              <w:pStyle w:val="style0"/>
              <w:widowControl/>
              <w:spacing w:lineRule="atLeast" w:line="480"/>
              <w:jc w:val="left"/>
              <w:rPr>
                <w:rFonts w:ascii="宋体" w:cs="Calibri" w:eastAsia="宋体" w:hAnsi="宋体" w:hint="eastAsia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style0"/>
              <w:widowControl/>
              <w:spacing w:lineRule="atLeast" w:line="480"/>
              <w:jc w:val="left"/>
              <w:rPr>
                <w:rFonts w:ascii="宋体" w:cs="Calibri" w:eastAsia="宋体" w:hAnsi="宋体"/>
                <w:kern w:val="0"/>
                <w:sz w:val="24"/>
                <w:szCs w:val="24"/>
              </w:rPr>
            </w:pPr>
          </w:p>
          <w:p>
            <w:pPr>
              <w:pStyle w:val="style0"/>
              <w:widowControl/>
              <w:spacing w:lineRule="atLeast" w:line="480"/>
              <w:jc w:val="left"/>
              <w:rPr>
                <w:rFonts w:ascii="宋体" w:cs="Calibri" w:eastAsia="宋体" w:hAnsi="宋体"/>
                <w:kern w:val="0"/>
                <w:sz w:val="24"/>
                <w:szCs w:val="24"/>
              </w:rPr>
            </w:pPr>
          </w:p>
          <w:p>
            <w:pPr>
              <w:pStyle w:val="style0"/>
              <w:widowControl/>
              <w:spacing w:lineRule="atLeast" w:line="480"/>
              <w:jc w:val="left"/>
              <w:rPr>
                <w:rFonts w:ascii="宋体" w:cs="Calibri" w:eastAsia="宋体" w:hAnsi="宋体"/>
                <w:kern w:val="0"/>
                <w:sz w:val="24"/>
                <w:szCs w:val="24"/>
              </w:rPr>
            </w:pPr>
          </w:p>
          <w:p>
            <w:pPr>
              <w:pStyle w:val="style0"/>
              <w:widowControl/>
              <w:spacing w:lineRule="atLeast" w:line="480"/>
              <w:jc w:val="left"/>
              <w:rPr>
                <w:rFonts w:ascii="宋体" w:cs="Calibri" w:eastAsia="宋体" w:hAnsi="宋体"/>
                <w:kern w:val="0"/>
                <w:sz w:val="24"/>
                <w:szCs w:val="24"/>
              </w:rPr>
            </w:pPr>
          </w:p>
          <w:p>
            <w:pPr>
              <w:pStyle w:val="style0"/>
              <w:widowControl/>
              <w:spacing w:lineRule="atLeast" w:line="480"/>
              <w:jc w:val="left"/>
              <w:rPr>
                <w:rFonts w:ascii="Calibri" w:cs="Calibri" w:eastAsia="宋体" w:hAnsi="Calibri"/>
                <w:kern w:val="0"/>
                <w:sz w:val="24"/>
                <w:szCs w:val="24"/>
              </w:rPr>
            </w:pPr>
            <w:r>
              <w:rPr>
                <w:rFonts w:ascii="宋体" w:cs="Calibri" w:eastAsia="宋体" w:hAnsi="宋体"/>
                <w:kern w:val="0"/>
                <w:sz w:val="24"/>
                <w:szCs w:val="24"/>
              </w:rPr>
              <w:t> </w:t>
            </w:r>
          </w:p>
        </w:tc>
      </w:tr>
      <w:tr>
        <w:tblPrEx/>
        <w:trPr/>
        <w:tc>
          <w:tcPr>
            <w:tcW w:w="20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widowControl/>
              <w:spacing w:lineRule="atLeast" w:line="480"/>
              <w:jc w:val="center"/>
              <w:rPr>
                <w:rFonts w:ascii="Calibri" w:cs="Calibri" w:eastAsia="宋体" w:hAnsi="Calibri"/>
                <w:kern w:val="0"/>
                <w:sz w:val="24"/>
                <w:szCs w:val="24"/>
              </w:rPr>
            </w:pPr>
            <w:r>
              <w:rPr>
                <w:rFonts w:ascii="宋体" w:cs="Calibri" w:eastAsia="宋体" w:hAnsi="宋体" w:hint="eastAsia"/>
                <w:kern w:val="0"/>
                <w:sz w:val="24"/>
                <w:szCs w:val="24"/>
              </w:rPr>
              <w:t>承诺书</w:t>
            </w:r>
          </w:p>
        </w:tc>
        <w:tc>
          <w:tcPr>
            <w:tcW w:w="77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widowControl/>
              <w:spacing w:lineRule="atLeast" w:line="480"/>
              <w:jc w:val="left"/>
              <w:rPr>
                <w:rFonts w:ascii="宋体" w:cs="Calibri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Calibri" w:eastAsia="宋体" w:hAnsi="宋体"/>
                <w:kern w:val="0"/>
                <w:sz w:val="24"/>
                <w:szCs w:val="24"/>
              </w:rPr>
              <w:t>1、保证对参赛作品拥有充分、完全、排他的知识产权，不侵犯任何他人的任何专利权、著作权、商标权及其他知识产权；如发生侵权行为，与主办单位</w:t>
            </w:r>
            <w:r>
              <w:rPr>
                <w:rFonts w:ascii="宋体" w:cs="Calibri" w:eastAsia="宋体" w:hAnsi="宋体" w:hint="eastAsia"/>
                <w:kern w:val="0"/>
                <w:sz w:val="24"/>
                <w:szCs w:val="24"/>
                <w:lang w:eastAsia="zh-CN"/>
              </w:rPr>
              <w:t>和</w:t>
            </w:r>
            <w:r>
              <w:rPr>
                <w:rFonts w:ascii="宋体" w:cs="Calibri" w:eastAsia="宋体" w:hAnsi="宋体"/>
                <w:kern w:val="0"/>
                <w:sz w:val="24"/>
                <w:szCs w:val="24"/>
              </w:rPr>
              <w:t>承办单位无关。 </w:t>
            </w:r>
          </w:p>
          <w:p>
            <w:pPr>
              <w:pStyle w:val="style0"/>
              <w:widowControl/>
              <w:spacing w:lineRule="atLeast" w:line="480"/>
              <w:jc w:val="left"/>
              <w:rPr>
                <w:rFonts w:ascii="宋体" w:cs="Calibri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Calibri" w:eastAsia="宋体" w:hAnsi="宋体"/>
                <w:kern w:val="0"/>
                <w:sz w:val="24"/>
                <w:szCs w:val="24"/>
              </w:rPr>
              <w:t>2、本人同意主办和承办单位对参赛作品进行公布、宣传、展览。</w:t>
            </w:r>
          </w:p>
          <w:p>
            <w:pPr>
              <w:pStyle w:val="style0"/>
              <w:widowControl/>
              <w:spacing w:lineRule="atLeast" w:line="480"/>
              <w:jc w:val="left"/>
              <w:rPr>
                <w:rFonts w:ascii="宋体" w:cs="Calibri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Calibri" w:eastAsia="宋体" w:hAnsi="宋体" w:hint="eastAsia"/>
                <w:kern w:val="0"/>
                <w:sz w:val="24"/>
                <w:szCs w:val="24"/>
              </w:rPr>
              <w:t>签字：  </w:t>
            </w:r>
          </w:p>
          <w:p>
            <w:pPr>
              <w:pStyle w:val="style0"/>
              <w:widowControl/>
              <w:spacing w:lineRule="atLeast" w:line="480"/>
              <w:jc w:val="left"/>
              <w:rPr/>
            </w:pPr>
            <w:r>
              <w:rPr>
                <w:rFonts w:ascii="宋体" w:cs="Calibri" w:eastAsia="宋体" w:hAnsi="宋体" w:hint="eastAsia"/>
                <w:kern w:val="0"/>
                <w:sz w:val="24"/>
                <w:szCs w:val="24"/>
                <w:lang w:eastAsia="zh-CN"/>
              </w:rPr>
              <w:t xml:space="preserve">                                               </w:t>
            </w:r>
            <w:r>
              <w:t>年     月      日</w:t>
            </w:r>
          </w:p>
        </w:tc>
      </w:tr>
      <w:tr>
        <w:tblPrEx/>
        <w:trPr/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Calibri" w:cs="Calibri" w:eastAsia="宋体" w:hAnsi="Calibri"/>
                <w:kern w:val="0"/>
                <w:sz w:val="24"/>
                <w:szCs w:val="24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>
      <w:pPr>
        <w:pStyle w:val="style0"/>
        <w:widowControl/>
        <w:rPr>
          <w:rFonts w:ascii="Calibri" w:cs="Calibri" w:eastAsia="宋体" w:hAnsi="Calibri"/>
          <w:color w:val="000000"/>
          <w:kern w:val="0"/>
          <w:sz w:val="24"/>
          <w:szCs w:val="24"/>
        </w:rPr>
      </w:pPr>
      <w:r>
        <w:rPr>
          <w:rFonts w:ascii="宋体" w:cs="Calibri" w:eastAsia="宋体" w:hAnsi="宋体" w:hint="eastAsia"/>
          <w:color w:val="000000"/>
          <w:kern w:val="0"/>
          <w:sz w:val="24"/>
          <w:szCs w:val="24"/>
        </w:rPr>
        <w:t>注意事项： </w:t>
      </w:r>
    </w:p>
    <w:p>
      <w:pPr>
        <w:pStyle w:val="style0"/>
        <w:widowControl/>
        <w:rPr>
          <w:rFonts w:ascii="Calibri" w:cs="Calibri" w:eastAsia="宋体" w:hAnsi="Calibri"/>
          <w:color w:val="000000"/>
          <w:kern w:val="0"/>
          <w:sz w:val="24"/>
          <w:szCs w:val="24"/>
        </w:rPr>
      </w:pPr>
      <w:r>
        <w:rPr>
          <w:rFonts w:ascii="Calibri" w:cs="Calibri" w:eastAsia="宋体" w:hAnsi="Calibri"/>
          <w:color w:val="000000"/>
          <w:kern w:val="0"/>
          <w:sz w:val="24"/>
          <w:szCs w:val="24"/>
        </w:rPr>
        <w:t>1、</w:t>
      </w:r>
      <w:r>
        <w:rPr>
          <w:rFonts w:ascii="宋体" w:cs="Calibri" w:eastAsia="宋体" w:hAnsi="宋体" w:hint="eastAsia"/>
          <w:color w:val="000000"/>
          <w:kern w:val="0"/>
          <w:sz w:val="24"/>
          <w:szCs w:val="24"/>
        </w:rPr>
        <w:t>参赛者须如实填写报名信息，按照报名表各项内容认真填写；</w:t>
      </w:r>
    </w:p>
    <w:p>
      <w:pPr>
        <w:pStyle w:val="style0"/>
        <w:widowControl/>
        <w:rPr>
          <w:rFonts w:ascii="Calibri" w:cs="Calibri" w:eastAsia="宋体" w:hAnsi="Calibri"/>
          <w:color w:val="000000"/>
          <w:kern w:val="0"/>
          <w:sz w:val="24"/>
          <w:szCs w:val="24"/>
        </w:rPr>
      </w:pPr>
      <w:r>
        <w:rPr>
          <w:rFonts w:ascii="Calibri" w:cs="Calibri" w:eastAsia="宋体" w:hAnsi="Calibri"/>
          <w:color w:val="000000"/>
          <w:kern w:val="0"/>
          <w:sz w:val="24"/>
          <w:szCs w:val="24"/>
        </w:rPr>
        <w:t>2、</w:t>
      </w:r>
      <w:r>
        <w:rPr>
          <w:rFonts w:ascii="宋体" w:cs="Calibri" w:eastAsia="宋体" w:hAnsi="宋体" w:hint="eastAsia"/>
          <w:color w:val="000000"/>
          <w:kern w:val="0"/>
          <w:sz w:val="24"/>
          <w:szCs w:val="24"/>
        </w:rPr>
        <w:t>参赛编号由大赛组委会统一填写；</w:t>
      </w:r>
    </w:p>
    <w:p>
      <w:pPr>
        <w:pStyle w:val="style0"/>
        <w:widowControl/>
        <w:rPr>
          <w:rFonts w:ascii="仿宋_GB2312" w:cs="宋体" w:eastAsia="仿宋_GB2312" w:hAnsi="Verdana" w:hint="eastAsia"/>
          <w:color w:val="000000"/>
          <w:kern w:val="0"/>
          <w:sz w:val="32"/>
          <w:lang w:val="en-US" w:eastAsia="zh-CN"/>
        </w:rPr>
      </w:pPr>
      <w:r>
        <w:rPr>
          <w:rFonts w:ascii="Calibri" w:cs="Calibri" w:eastAsia="宋体" w:hAnsi="Calibri"/>
          <w:color w:val="000000"/>
          <w:kern w:val="0"/>
          <w:sz w:val="24"/>
          <w:szCs w:val="24"/>
        </w:rPr>
        <w:t>3</w:t>
      </w:r>
      <w:r>
        <w:rPr>
          <w:rFonts w:ascii="宋体" w:cs="Calibri" w:eastAsia="宋体" w:hAnsi="宋体" w:hint="eastAsia"/>
          <w:color w:val="000000"/>
          <w:kern w:val="0"/>
          <w:sz w:val="24"/>
          <w:szCs w:val="24"/>
        </w:rPr>
        <w:t>、报名表随设计作品电子版一同发送到</w:t>
      </w:r>
      <w:r>
        <w:rPr/>
        <w:fldChar w:fldCharType="begin"/>
      </w:r>
      <w:r>
        <w:instrText xml:space="preserve"> HYPERLINK "mailto:tjbwgwcb@163.com" </w:instrText>
      </w:r>
      <w:r>
        <w:rPr/>
        <w:fldChar w:fldCharType="separate"/>
      </w:r>
      <w:r>
        <w:rPr>
          <w:rFonts w:ascii="Calibri" w:cs="Calibri" w:eastAsia="宋体" w:hAnsi="Calibri"/>
          <w:color w:val="064977"/>
          <w:kern w:val="0"/>
          <w:sz w:val="24"/>
          <w:szCs w:val="24"/>
          <w:u w:val="single"/>
        </w:rPr>
        <w:t>tjbwgwcb@163.com</w:t>
      </w:r>
      <w:r>
        <w:rPr>
          <w:rFonts w:ascii="Calibri" w:cs="Calibri" w:eastAsia="宋体" w:hAnsi="Calibri"/>
          <w:color w:val="064977"/>
          <w:kern w:val="0"/>
          <w:sz w:val="24"/>
          <w:szCs w:val="24"/>
          <w:u w:val="single"/>
        </w:rPr>
        <w:fldChar w:fldCharType="end"/>
      </w:r>
    </w:p>
    <w:sectPr>
      <w:pgSz w:w="11906" w:h="16838" w:orient="portrait"/>
      <w:pgMar w:top="1440" w:right="1083" w:bottom="1440" w:left="10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0010101"/>
    <w:charset w:val="00"/>
    <w:family w:val="roman"/>
    <w:pitch w:val="default"/>
    <w:sig w:usb0="00000000" w:usb1="00000000" w:usb2="00000000" w:usb3="00000000" w:csb0="00040000" w:csb1="00000000"/>
  </w:font>
  <w:font w:name="Verdana">
    <w:altName w:val="Verdana"/>
    <w:panose1 w:val="020b0604030000040204"/>
    <w:charset w:val="00"/>
    <w:family w:val="swiss"/>
    <w:pitch w:val="default"/>
    <w:sig w:usb0="A00006FF" w:usb1="4000205B" w:usb2="00000010" w:usb3="00000000" w:csb0="2000019F" w:csb1="00000000"/>
  </w:font>
  <w:font w:name="仿宋">
    <w:altName w:val="仿宋"/>
    <w:panose1 w:val="02010609060000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6430F272"/>
    <w:lvl w:ilvl="0">
      <w:start w:val="6"/>
      <w:numFmt w:val="chineseCounting"/>
      <w:lvlText w:val="%1、"/>
      <w:lvlJc w:val="left"/>
      <w:pPr/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uiPriority w:val="0"/>
    <w:pPr>
      <w:spacing w:before="100" w:beforeAutospacing="true" w:after="100" w:afterAutospacing="true"/>
      <w:jc w:val="left"/>
    </w:pPr>
    <w:rPr>
      <w:kern w:val="0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2359</Words>
  <Pages>6</Pages>
  <Characters>2493</Characters>
  <Application>WPS Office</Application>
  <DocSecurity>0</DocSecurity>
  <Paragraphs>131</Paragraphs>
  <ScaleCrop>false</ScaleCrop>
  <LinksUpToDate>false</LinksUpToDate>
  <CharactersWithSpaces>2607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2023-04-08T18:53:00Z</dcterms:created>
  <dc:creator>iPad</dc:creator>
  <lastModifiedBy>NOP-AN00</lastModifiedBy>
  <dcterms:modified xsi:type="dcterms:W3CDTF">2023-04-13T12:17:26Z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B6672E392BA4973E93852F64884B2E1A_31</vt:lpwstr>
  </property>
</Properties>
</file>